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4305" w14:textId="69577502" w:rsidR="005E2860" w:rsidRPr="00956BBF" w:rsidRDefault="00D61C07" w:rsidP="00956BBF">
      <w:pPr>
        <w:spacing w:after="200" w:line="280" w:lineRule="atLeast"/>
        <w:rPr>
          <w:rFonts w:ascii="Arial" w:hAnsi="Arial" w:cs="Arial"/>
          <w:b/>
          <w:sz w:val="22"/>
          <w:szCs w:val="22"/>
        </w:rPr>
      </w:pPr>
      <w:r w:rsidRPr="00956BBF">
        <w:rPr>
          <w:rFonts w:ascii="Arial" w:hAnsi="Arial" w:cs="Arial"/>
          <w:b/>
          <w:sz w:val="22"/>
          <w:szCs w:val="22"/>
        </w:rPr>
        <w:t xml:space="preserve">Parent engagement to deliver the extended </w:t>
      </w:r>
      <w:r w:rsidR="00956BBF">
        <w:rPr>
          <w:rFonts w:ascii="Arial" w:hAnsi="Arial" w:cs="Arial"/>
          <w:b/>
          <w:sz w:val="22"/>
          <w:szCs w:val="22"/>
        </w:rPr>
        <w:t xml:space="preserve">free </w:t>
      </w:r>
      <w:r w:rsidRPr="00956BBF">
        <w:rPr>
          <w:rFonts w:ascii="Arial" w:hAnsi="Arial" w:cs="Arial"/>
          <w:b/>
          <w:sz w:val="22"/>
          <w:szCs w:val="22"/>
        </w:rPr>
        <w:t>entitlement</w:t>
      </w:r>
      <w:r w:rsidR="00F31AD2">
        <w:rPr>
          <w:rFonts w:ascii="Arial" w:hAnsi="Arial" w:cs="Arial"/>
          <w:b/>
          <w:sz w:val="22"/>
          <w:szCs w:val="22"/>
        </w:rPr>
        <w:t xml:space="preserve"> for three and four year olds (EFE)</w:t>
      </w:r>
    </w:p>
    <w:p w14:paraId="6C767C5A" w14:textId="77777777" w:rsidR="008E3E53" w:rsidRPr="00956BBF" w:rsidRDefault="008E3E53" w:rsidP="00956BBF">
      <w:pPr>
        <w:spacing w:after="200" w:line="280" w:lineRule="atLeast"/>
        <w:rPr>
          <w:rFonts w:ascii="Arial" w:hAnsi="Arial" w:cs="Arial"/>
          <w:b/>
          <w:sz w:val="22"/>
          <w:szCs w:val="22"/>
        </w:rPr>
      </w:pPr>
      <w:r w:rsidRPr="00956BBF">
        <w:rPr>
          <w:rFonts w:ascii="Arial" w:hAnsi="Arial" w:cs="Arial"/>
          <w:b/>
          <w:sz w:val="22"/>
          <w:szCs w:val="22"/>
        </w:rPr>
        <w:t>Working with parents to assess dem</w:t>
      </w:r>
      <w:bookmarkStart w:id="0" w:name="_GoBack"/>
      <w:bookmarkEnd w:id="0"/>
      <w:r w:rsidRPr="00956BBF">
        <w:rPr>
          <w:rFonts w:ascii="Arial" w:hAnsi="Arial" w:cs="Arial"/>
          <w:b/>
          <w:sz w:val="22"/>
          <w:szCs w:val="22"/>
        </w:rPr>
        <w:t>and</w:t>
      </w:r>
    </w:p>
    <w:p w14:paraId="188D8561" w14:textId="79A85F49" w:rsidR="003536CE" w:rsidRPr="00956BBF" w:rsidRDefault="00F34FBE" w:rsidP="00956BBF">
      <w:pPr>
        <w:spacing w:after="200" w:line="280" w:lineRule="atLeast"/>
        <w:rPr>
          <w:rFonts w:ascii="Arial" w:hAnsi="Arial" w:cs="Arial"/>
          <w:sz w:val="22"/>
          <w:szCs w:val="22"/>
        </w:rPr>
      </w:pPr>
      <w:r w:rsidRPr="00956BBF">
        <w:rPr>
          <w:rFonts w:ascii="Arial" w:hAnsi="Arial" w:cs="Arial"/>
          <w:sz w:val="22"/>
          <w:szCs w:val="22"/>
        </w:rPr>
        <w:t xml:space="preserve">Evidence from the </w:t>
      </w:r>
      <w:r w:rsidR="00C26E2C">
        <w:rPr>
          <w:rFonts w:ascii="Arial" w:hAnsi="Arial" w:cs="Arial"/>
          <w:sz w:val="22"/>
          <w:szCs w:val="22"/>
        </w:rPr>
        <w:t>Department for Education (</w:t>
      </w:r>
      <w:proofErr w:type="spellStart"/>
      <w:r w:rsidR="003A2400" w:rsidRPr="00956BBF">
        <w:rPr>
          <w:rFonts w:ascii="Arial" w:hAnsi="Arial" w:cs="Arial"/>
          <w:sz w:val="22"/>
          <w:szCs w:val="22"/>
        </w:rPr>
        <w:t>DfE</w:t>
      </w:r>
      <w:proofErr w:type="spellEnd"/>
      <w:r w:rsidR="00C26E2C">
        <w:rPr>
          <w:rFonts w:ascii="Arial" w:hAnsi="Arial" w:cs="Arial"/>
          <w:sz w:val="22"/>
          <w:szCs w:val="22"/>
        </w:rPr>
        <w:t>)</w:t>
      </w:r>
      <w:r w:rsidR="003A2400" w:rsidRPr="00956BBF">
        <w:rPr>
          <w:rFonts w:ascii="Arial" w:hAnsi="Arial" w:cs="Arial"/>
          <w:sz w:val="22"/>
          <w:szCs w:val="22"/>
        </w:rPr>
        <w:t xml:space="preserve"> 30 Hours Mixed Model Partnership </w:t>
      </w:r>
      <w:r w:rsidR="00693B1F">
        <w:rPr>
          <w:rFonts w:ascii="Arial" w:hAnsi="Arial" w:cs="Arial"/>
          <w:sz w:val="22"/>
          <w:szCs w:val="22"/>
        </w:rPr>
        <w:t>project</w:t>
      </w:r>
      <w:r w:rsidR="003A2400" w:rsidRPr="00956BBF">
        <w:rPr>
          <w:rFonts w:ascii="Arial" w:hAnsi="Arial" w:cs="Arial"/>
          <w:sz w:val="22"/>
          <w:szCs w:val="22"/>
        </w:rPr>
        <w:t xml:space="preserve"> (the </w:t>
      </w:r>
      <w:r w:rsidR="00693B1F">
        <w:rPr>
          <w:rFonts w:ascii="Arial" w:hAnsi="Arial" w:cs="Arial"/>
          <w:sz w:val="22"/>
          <w:szCs w:val="22"/>
        </w:rPr>
        <w:t>project</w:t>
      </w:r>
      <w:r w:rsidR="003A2400" w:rsidRPr="00956BBF">
        <w:rPr>
          <w:rFonts w:ascii="Arial" w:hAnsi="Arial" w:cs="Arial"/>
          <w:sz w:val="22"/>
          <w:szCs w:val="22"/>
        </w:rPr>
        <w:t xml:space="preserve">) </w:t>
      </w:r>
      <w:r w:rsidR="005D6A6D" w:rsidRPr="00956BBF">
        <w:rPr>
          <w:rFonts w:ascii="Arial" w:hAnsi="Arial" w:cs="Arial"/>
          <w:sz w:val="22"/>
          <w:szCs w:val="22"/>
        </w:rPr>
        <w:t>su</w:t>
      </w:r>
      <w:r w:rsidR="003536CE" w:rsidRPr="00956BBF">
        <w:rPr>
          <w:rFonts w:ascii="Arial" w:hAnsi="Arial" w:cs="Arial"/>
          <w:sz w:val="22"/>
          <w:szCs w:val="22"/>
        </w:rPr>
        <w:t>ggests that there could be a high</w:t>
      </w:r>
      <w:r w:rsidR="005D6A6D" w:rsidRPr="00956BBF">
        <w:rPr>
          <w:rFonts w:ascii="Arial" w:hAnsi="Arial" w:cs="Arial"/>
          <w:sz w:val="22"/>
          <w:szCs w:val="22"/>
        </w:rPr>
        <w:t xml:space="preserve"> take</w:t>
      </w:r>
      <w:r w:rsidR="003536CE" w:rsidRPr="00956BBF">
        <w:rPr>
          <w:rFonts w:ascii="Arial" w:hAnsi="Arial" w:cs="Arial"/>
          <w:sz w:val="22"/>
          <w:szCs w:val="22"/>
        </w:rPr>
        <w:t xml:space="preserve"> up by eligible parents currently using the universal 15 hours early education entitlement for three and four year olds. </w:t>
      </w:r>
      <w:r w:rsidR="008E3E53" w:rsidRPr="00956BBF">
        <w:rPr>
          <w:rFonts w:ascii="Arial" w:hAnsi="Arial" w:cs="Arial"/>
          <w:sz w:val="22"/>
          <w:szCs w:val="22"/>
        </w:rPr>
        <w:t xml:space="preserve"> It is anticipated that m</w:t>
      </w:r>
      <w:r w:rsidR="003536CE" w:rsidRPr="00956BBF">
        <w:rPr>
          <w:rFonts w:ascii="Arial" w:hAnsi="Arial" w:cs="Arial"/>
          <w:sz w:val="22"/>
          <w:szCs w:val="22"/>
        </w:rPr>
        <w:t xml:space="preserve">any parents will convert from paying for extra hours to take up of free hours. </w:t>
      </w:r>
      <w:r w:rsidR="008E3E53" w:rsidRPr="00956BBF">
        <w:rPr>
          <w:rFonts w:ascii="Arial" w:hAnsi="Arial" w:cs="Arial"/>
          <w:sz w:val="22"/>
          <w:szCs w:val="22"/>
        </w:rPr>
        <w:t xml:space="preserve"> </w:t>
      </w:r>
      <w:r w:rsidR="003536CE" w:rsidRPr="00956BBF">
        <w:rPr>
          <w:rFonts w:ascii="Arial" w:hAnsi="Arial" w:cs="Arial"/>
          <w:sz w:val="22"/>
          <w:szCs w:val="22"/>
        </w:rPr>
        <w:t xml:space="preserve">In addition, the </w:t>
      </w:r>
      <w:r w:rsidR="00693B1F">
        <w:rPr>
          <w:rFonts w:ascii="Arial" w:hAnsi="Arial" w:cs="Arial"/>
          <w:sz w:val="22"/>
          <w:szCs w:val="22"/>
        </w:rPr>
        <w:t>project</w:t>
      </w:r>
      <w:r w:rsidR="003536CE" w:rsidRPr="00956BBF">
        <w:rPr>
          <w:rFonts w:ascii="Arial" w:hAnsi="Arial" w:cs="Arial"/>
          <w:sz w:val="22"/>
          <w:szCs w:val="22"/>
        </w:rPr>
        <w:t xml:space="preserve"> indicates that ineligible parents </w:t>
      </w:r>
      <w:r w:rsidR="008E3E53" w:rsidRPr="00956BBF">
        <w:rPr>
          <w:rFonts w:ascii="Arial" w:hAnsi="Arial" w:cs="Arial"/>
          <w:sz w:val="22"/>
          <w:szCs w:val="22"/>
        </w:rPr>
        <w:t xml:space="preserve">may </w:t>
      </w:r>
      <w:r w:rsidR="003536CE" w:rsidRPr="00956BBF">
        <w:rPr>
          <w:rFonts w:ascii="Arial" w:hAnsi="Arial" w:cs="Arial"/>
          <w:sz w:val="22"/>
          <w:szCs w:val="22"/>
        </w:rPr>
        <w:t xml:space="preserve">see the new entitlement as an opportunity </w:t>
      </w:r>
      <w:r w:rsidR="008E3E53" w:rsidRPr="00956BBF">
        <w:rPr>
          <w:rFonts w:ascii="Arial" w:hAnsi="Arial" w:cs="Arial"/>
          <w:sz w:val="22"/>
          <w:szCs w:val="22"/>
        </w:rPr>
        <w:t>either to seek employment and thus become eligible or to extend their working hours</w:t>
      </w:r>
      <w:r w:rsidR="003536CE" w:rsidRPr="00956BBF">
        <w:rPr>
          <w:rFonts w:ascii="Arial" w:hAnsi="Arial" w:cs="Arial"/>
          <w:sz w:val="22"/>
          <w:szCs w:val="22"/>
        </w:rPr>
        <w:t>.</w:t>
      </w:r>
    </w:p>
    <w:p w14:paraId="7DB36698" w14:textId="218B8178" w:rsidR="008E3E53" w:rsidRPr="00956BBF" w:rsidRDefault="00D20996" w:rsidP="00956BBF">
      <w:pPr>
        <w:spacing w:after="200" w:line="280" w:lineRule="atLeast"/>
        <w:rPr>
          <w:rFonts w:ascii="Arial" w:hAnsi="Arial" w:cs="Arial"/>
          <w:sz w:val="22"/>
          <w:szCs w:val="22"/>
        </w:rPr>
      </w:pPr>
      <w:r>
        <w:rPr>
          <w:rFonts w:ascii="Arial" w:hAnsi="Arial" w:cs="Arial"/>
          <w:sz w:val="22"/>
          <w:szCs w:val="22"/>
        </w:rPr>
        <w:t xml:space="preserve">Undertaking a demand survey will help providers and partnerships assess the impact on demand. </w:t>
      </w:r>
      <w:proofErr w:type="gramStart"/>
      <w:r w:rsidR="00D572EE" w:rsidRPr="00956BBF">
        <w:rPr>
          <w:rFonts w:ascii="Arial" w:hAnsi="Arial" w:cs="Arial"/>
          <w:sz w:val="22"/>
          <w:szCs w:val="22"/>
        </w:rPr>
        <w:t>the</w:t>
      </w:r>
      <w:proofErr w:type="gramEnd"/>
      <w:r w:rsidR="00D572EE" w:rsidRPr="00956BBF">
        <w:rPr>
          <w:rFonts w:ascii="Arial" w:hAnsi="Arial" w:cs="Arial"/>
          <w:sz w:val="22"/>
          <w:szCs w:val="22"/>
        </w:rPr>
        <w:t xml:space="preserve"> </w:t>
      </w:r>
      <w:r>
        <w:rPr>
          <w:rFonts w:ascii="Arial" w:hAnsi="Arial" w:cs="Arial"/>
          <w:sz w:val="22"/>
          <w:szCs w:val="22"/>
        </w:rPr>
        <w:t>impact on demand P</w:t>
      </w:r>
      <w:r w:rsidR="00D572EE" w:rsidRPr="00956BBF">
        <w:rPr>
          <w:rFonts w:ascii="Arial" w:hAnsi="Arial" w:cs="Arial"/>
          <w:sz w:val="22"/>
          <w:szCs w:val="22"/>
        </w:rPr>
        <w:t xml:space="preserve">roviders or partnerships may wish to consider undertaking a demand survey to assess the likely intentions of parents who already use their provision.  See </w:t>
      </w:r>
      <w:hyperlink r:id="rId8" w:history="1">
        <w:r w:rsidR="001F1FCE" w:rsidRPr="00BF63FC">
          <w:rPr>
            <w:rStyle w:val="Hyperlink"/>
            <w:rFonts w:ascii="Arial" w:hAnsi="Arial" w:cs="Arial"/>
            <w:b/>
            <w:sz w:val="22"/>
            <w:szCs w:val="22"/>
          </w:rPr>
          <w:t>D</w:t>
        </w:r>
        <w:r w:rsidR="00D572EE" w:rsidRPr="00BF63FC">
          <w:rPr>
            <w:rStyle w:val="Hyperlink"/>
            <w:rFonts w:ascii="Arial" w:hAnsi="Arial" w:cs="Arial"/>
            <w:b/>
            <w:sz w:val="22"/>
            <w:szCs w:val="22"/>
          </w:rPr>
          <w:t xml:space="preserve">emand </w:t>
        </w:r>
        <w:r w:rsidR="00B669B4" w:rsidRPr="00BF63FC">
          <w:rPr>
            <w:rStyle w:val="Hyperlink"/>
            <w:rFonts w:ascii="Arial" w:hAnsi="Arial" w:cs="Arial"/>
            <w:b/>
            <w:sz w:val="22"/>
            <w:szCs w:val="22"/>
          </w:rPr>
          <w:t>G</w:t>
        </w:r>
        <w:r w:rsidR="00956BBF" w:rsidRPr="00BF63FC">
          <w:rPr>
            <w:rStyle w:val="Hyperlink"/>
            <w:rFonts w:ascii="Arial" w:hAnsi="Arial" w:cs="Arial"/>
            <w:b/>
            <w:sz w:val="22"/>
            <w:szCs w:val="22"/>
          </w:rPr>
          <w:t>uidance</w:t>
        </w:r>
      </w:hyperlink>
      <w:r w:rsidR="00956BBF">
        <w:rPr>
          <w:rFonts w:ascii="Arial" w:hAnsi="Arial" w:cs="Arial"/>
          <w:b/>
          <w:color w:val="0000FF"/>
          <w:sz w:val="22"/>
          <w:szCs w:val="22"/>
        </w:rPr>
        <w:t xml:space="preserve"> </w:t>
      </w:r>
      <w:r w:rsidR="005457C8" w:rsidRPr="00956BBF">
        <w:rPr>
          <w:rFonts w:ascii="Arial" w:hAnsi="Arial" w:cs="Arial"/>
          <w:sz w:val="22"/>
          <w:szCs w:val="22"/>
        </w:rPr>
        <w:t>for</w:t>
      </w:r>
      <w:r w:rsidR="002F392A" w:rsidRPr="00956BBF">
        <w:rPr>
          <w:rFonts w:ascii="Arial" w:hAnsi="Arial" w:cs="Arial"/>
          <w:sz w:val="22"/>
          <w:szCs w:val="22"/>
        </w:rPr>
        <w:t xml:space="preserve"> more details on how you could g</w:t>
      </w:r>
      <w:r w:rsidR="005457C8" w:rsidRPr="00956BBF">
        <w:rPr>
          <w:rFonts w:ascii="Arial" w:hAnsi="Arial" w:cs="Arial"/>
          <w:sz w:val="22"/>
          <w:szCs w:val="22"/>
        </w:rPr>
        <w:t xml:space="preserve">o about doing this and for some </w:t>
      </w:r>
      <w:r w:rsidR="002F392A" w:rsidRPr="00956BBF">
        <w:rPr>
          <w:rFonts w:ascii="Arial" w:hAnsi="Arial" w:cs="Arial"/>
          <w:sz w:val="22"/>
          <w:szCs w:val="22"/>
        </w:rPr>
        <w:t xml:space="preserve">examples of surveys to use </w:t>
      </w:r>
      <w:r w:rsidR="005457C8" w:rsidRPr="00956BBF">
        <w:rPr>
          <w:rFonts w:ascii="Arial" w:hAnsi="Arial" w:cs="Arial"/>
          <w:sz w:val="22"/>
          <w:szCs w:val="22"/>
        </w:rPr>
        <w:t>and questions to ask.</w:t>
      </w:r>
    </w:p>
    <w:p w14:paraId="307D3134" w14:textId="77777777" w:rsidR="002F392A" w:rsidRPr="00956BBF" w:rsidRDefault="002F392A" w:rsidP="00956BBF">
      <w:pPr>
        <w:spacing w:after="200" w:line="280" w:lineRule="atLeast"/>
        <w:rPr>
          <w:rFonts w:ascii="Arial" w:hAnsi="Arial" w:cs="Arial"/>
          <w:b/>
          <w:sz w:val="22"/>
          <w:szCs w:val="22"/>
        </w:rPr>
      </w:pPr>
      <w:r w:rsidRPr="00956BBF">
        <w:rPr>
          <w:rFonts w:ascii="Arial" w:hAnsi="Arial" w:cs="Arial"/>
          <w:b/>
          <w:sz w:val="22"/>
          <w:szCs w:val="22"/>
        </w:rPr>
        <w:t>Marketing</w:t>
      </w:r>
    </w:p>
    <w:p w14:paraId="4DD56956" w14:textId="7B51143A" w:rsidR="002F392A" w:rsidRPr="00956BBF" w:rsidRDefault="002F392A" w:rsidP="00956BBF">
      <w:pPr>
        <w:spacing w:after="200" w:line="280" w:lineRule="atLeast"/>
        <w:rPr>
          <w:rFonts w:ascii="Arial" w:hAnsi="Arial" w:cs="Arial"/>
          <w:sz w:val="22"/>
          <w:szCs w:val="22"/>
        </w:rPr>
      </w:pPr>
      <w:r w:rsidRPr="00956BBF">
        <w:rPr>
          <w:rFonts w:ascii="Arial" w:hAnsi="Arial" w:cs="Arial"/>
          <w:sz w:val="22"/>
          <w:szCs w:val="22"/>
        </w:rPr>
        <w:t xml:space="preserve">Whilst there is likely to be a high level of interest shown in the new entitlement, it is important that the partnership is able to market the offer to parents and carers.  Parents and carers will need to understand who is and who isn’t eligible, how to apply, the different models of </w:t>
      </w:r>
      <w:r w:rsidR="00956BBF">
        <w:rPr>
          <w:rFonts w:ascii="Arial" w:hAnsi="Arial" w:cs="Arial"/>
          <w:sz w:val="22"/>
          <w:szCs w:val="22"/>
        </w:rPr>
        <w:t xml:space="preserve">early education and </w:t>
      </w:r>
      <w:r w:rsidRPr="00956BBF">
        <w:rPr>
          <w:rFonts w:ascii="Arial" w:hAnsi="Arial" w:cs="Arial"/>
          <w:sz w:val="22"/>
          <w:szCs w:val="22"/>
        </w:rPr>
        <w:t xml:space="preserve">childcare that they could access etc.  See </w:t>
      </w:r>
      <w:hyperlink r:id="rId9" w:history="1">
        <w:r w:rsidR="001F1FCE" w:rsidRPr="00BF63FC">
          <w:rPr>
            <w:rStyle w:val="Hyperlink"/>
            <w:rFonts w:ascii="Arial" w:hAnsi="Arial" w:cs="Arial"/>
            <w:b/>
            <w:sz w:val="22"/>
            <w:szCs w:val="22"/>
          </w:rPr>
          <w:t>M</w:t>
        </w:r>
        <w:r w:rsidR="00B669B4" w:rsidRPr="00BF63FC">
          <w:rPr>
            <w:rStyle w:val="Hyperlink"/>
            <w:rFonts w:ascii="Arial" w:hAnsi="Arial" w:cs="Arial"/>
            <w:b/>
            <w:sz w:val="22"/>
            <w:szCs w:val="22"/>
          </w:rPr>
          <w:t>arketing the Partnership O</w:t>
        </w:r>
        <w:r w:rsidRPr="00BF63FC">
          <w:rPr>
            <w:rStyle w:val="Hyperlink"/>
            <w:rFonts w:ascii="Arial" w:hAnsi="Arial" w:cs="Arial"/>
            <w:b/>
            <w:sz w:val="22"/>
            <w:szCs w:val="22"/>
          </w:rPr>
          <w:t>ffer</w:t>
        </w:r>
      </w:hyperlink>
      <w:r w:rsidRPr="00956BBF">
        <w:rPr>
          <w:rFonts w:ascii="Arial" w:hAnsi="Arial" w:cs="Arial"/>
          <w:sz w:val="22"/>
          <w:szCs w:val="22"/>
        </w:rPr>
        <w:t xml:space="preserve"> for tips on how to develop a partnership marketing strategy. </w:t>
      </w:r>
    </w:p>
    <w:p w14:paraId="2BF0758B" w14:textId="77777777" w:rsidR="005457C8" w:rsidRPr="00956BBF" w:rsidRDefault="005457C8" w:rsidP="00956BBF">
      <w:pPr>
        <w:spacing w:after="200" w:line="280" w:lineRule="atLeast"/>
        <w:rPr>
          <w:rFonts w:ascii="Arial" w:hAnsi="Arial" w:cs="Arial"/>
          <w:b/>
          <w:sz w:val="22"/>
          <w:szCs w:val="22"/>
        </w:rPr>
      </w:pPr>
      <w:r w:rsidRPr="00956BBF">
        <w:rPr>
          <w:rFonts w:ascii="Arial" w:hAnsi="Arial" w:cs="Arial"/>
          <w:b/>
          <w:sz w:val="22"/>
          <w:szCs w:val="22"/>
        </w:rPr>
        <w:t>Managing parents’ expectations</w:t>
      </w:r>
    </w:p>
    <w:p w14:paraId="46D84D9B" w14:textId="599E7D61" w:rsidR="00CD28F2" w:rsidRPr="00956BBF" w:rsidRDefault="00CD28F2" w:rsidP="00956BBF">
      <w:pPr>
        <w:spacing w:after="200" w:line="280" w:lineRule="atLeast"/>
        <w:rPr>
          <w:rFonts w:ascii="Arial" w:hAnsi="Arial" w:cs="Arial"/>
          <w:i/>
          <w:sz w:val="22"/>
          <w:szCs w:val="22"/>
        </w:rPr>
      </w:pPr>
      <w:r w:rsidRPr="00956BBF">
        <w:rPr>
          <w:rFonts w:ascii="Arial" w:hAnsi="Arial" w:cs="Arial"/>
          <w:i/>
          <w:sz w:val="22"/>
          <w:szCs w:val="22"/>
        </w:rPr>
        <w:t>Entitlement</w:t>
      </w:r>
      <w:r w:rsidR="00A5688E" w:rsidRPr="00956BBF">
        <w:rPr>
          <w:rFonts w:ascii="Arial" w:hAnsi="Arial" w:cs="Arial"/>
          <w:i/>
          <w:sz w:val="22"/>
          <w:szCs w:val="22"/>
        </w:rPr>
        <w:t xml:space="preserve"> and eligibility</w:t>
      </w:r>
    </w:p>
    <w:p w14:paraId="73260235" w14:textId="22FEEFA1" w:rsidR="005457C8" w:rsidRPr="00956BBF" w:rsidRDefault="005457C8" w:rsidP="00956BBF">
      <w:pPr>
        <w:spacing w:after="200" w:line="280" w:lineRule="atLeast"/>
        <w:rPr>
          <w:rFonts w:ascii="Arial" w:hAnsi="Arial" w:cs="Arial"/>
          <w:sz w:val="22"/>
          <w:szCs w:val="22"/>
        </w:rPr>
      </w:pPr>
      <w:r w:rsidRPr="00956BBF">
        <w:rPr>
          <w:rFonts w:ascii="Arial" w:hAnsi="Arial" w:cs="Arial"/>
          <w:sz w:val="22"/>
          <w:szCs w:val="22"/>
        </w:rPr>
        <w:t xml:space="preserve">Evidence from the </w:t>
      </w:r>
      <w:r w:rsidR="00693B1F">
        <w:rPr>
          <w:rFonts w:ascii="Arial" w:hAnsi="Arial" w:cs="Arial"/>
          <w:sz w:val="22"/>
          <w:szCs w:val="22"/>
        </w:rPr>
        <w:t>project</w:t>
      </w:r>
      <w:r w:rsidRPr="00956BBF">
        <w:rPr>
          <w:rFonts w:ascii="Arial" w:hAnsi="Arial" w:cs="Arial"/>
          <w:sz w:val="22"/>
          <w:szCs w:val="22"/>
        </w:rPr>
        <w:t xml:space="preserve"> suggests that many parents are aware of the new entitlement and are already asking how they can access it.  However</w:t>
      </w:r>
      <w:r w:rsidR="00604491">
        <w:rPr>
          <w:rFonts w:ascii="Arial" w:hAnsi="Arial" w:cs="Arial"/>
          <w:sz w:val="22"/>
          <w:szCs w:val="22"/>
        </w:rPr>
        <w:t>,</w:t>
      </w:r>
      <w:r w:rsidRPr="00956BBF">
        <w:rPr>
          <w:rFonts w:ascii="Arial" w:hAnsi="Arial" w:cs="Arial"/>
          <w:sz w:val="22"/>
          <w:szCs w:val="22"/>
        </w:rPr>
        <w:t xml:space="preserve"> evidence also suggests that</w:t>
      </w:r>
      <w:r w:rsidR="00604491">
        <w:rPr>
          <w:rFonts w:ascii="Arial" w:hAnsi="Arial" w:cs="Arial"/>
          <w:sz w:val="22"/>
          <w:szCs w:val="22"/>
        </w:rPr>
        <w:t>,</w:t>
      </w:r>
      <w:r w:rsidRPr="00956BBF">
        <w:rPr>
          <w:rFonts w:ascii="Arial" w:hAnsi="Arial" w:cs="Arial"/>
          <w:sz w:val="22"/>
          <w:szCs w:val="22"/>
        </w:rPr>
        <w:t xml:space="preserve"> at this stage</w:t>
      </w:r>
      <w:r w:rsidR="00604491">
        <w:rPr>
          <w:rFonts w:ascii="Arial" w:hAnsi="Arial" w:cs="Arial"/>
          <w:sz w:val="22"/>
          <w:szCs w:val="22"/>
        </w:rPr>
        <w:t>,</w:t>
      </w:r>
      <w:r w:rsidRPr="00956BBF">
        <w:rPr>
          <w:rFonts w:ascii="Arial" w:hAnsi="Arial" w:cs="Arial"/>
          <w:sz w:val="22"/>
          <w:szCs w:val="22"/>
        </w:rPr>
        <w:t xml:space="preserve"> not all parents are aware of the eligibility criteria.</w:t>
      </w:r>
      <w:r w:rsidR="002F392A" w:rsidRPr="00956BBF">
        <w:rPr>
          <w:rFonts w:ascii="Arial" w:hAnsi="Arial" w:cs="Arial"/>
          <w:sz w:val="22"/>
          <w:szCs w:val="22"/>
        </w:rPr>
        <w:t xml:space="preserve">  It is therefore essential that any local marketing and promotion </w:t>
      </w:r>
      <w:r w:rsidR="004F65A5" w:rsidRPr="00956BBF">
        <w:rPr>
          <w:rFonts w:ascii="Arial" w:hAnsi="Arial" w:cs="Arial"/>
          <w:sz w:val="22"/>
          <w:szCs w:val="22"/>
        </w:rPr>
        <w:t>is clear about which parents will be eligible from the outset.  It is also suggested that there is clear local information about the advice and/or support available for parents who are not eligible for the new entitlement.</w:t>
      </w:r>
    </w:p>
    <w:p w14:paraId="7F9B89AB" w14:textId="7668EA53" w:rsidR="00CD28F2" w:rsidRPr="00956BBF" w:rsidRDefault="00604491" w:rsidP="00956BBF">
      <w:pPr>
        <w:spacing w:after="200" w:line="280" w:lineRule="atLeast"/>
        <w:jc w:val="both"/>
        <w:rPr>
          <w:rFonts w:ascii="Arial" w:hAnsi="Arial" w:cs="Arial"/>
          <w:sz w:val="22"/>
          <w:szCs w:val="22"/>
        </w:rPr>
      </w:pPr>
      <w:r>
        <w:rPr>
          <w:rFonts w:ascii="Arial" w:hAnsi="Arial" w:cs="Arial"/>
          <w:sz w:val="22"/>
          <w:szCs w:val="22"/>
        </w:rPr>
        <w:t>M</w:t>
      </w:r>
      <w:r w:rsidR="00CD28F2" w:rsidRPr="00956BBF">
        <w:rPr>
          <w:rFonts w:ascii="Arial" w:hAnsi="Arial" w:cs="Arial"/>
          <w:sz w:val="22"/>
          <w:szCs w:val="22"/>
        </w:rPr>
        <w:t xml:space="preserve">anaging parents’ expectations </w:t>
      </w:r>
      <w:r>
        <w:rPr>
          <w:rFonts w:ascii="Arial" w:hAnsi="Arial" w:cs="Arial"/>
          <w:sz w:val="22"/>
          <w:szCs w:val="22"/>
        </w:rPr>
        <w:t xml:space="preserve">about the entitlement is going to play an important part in the development of </w:t>
      </w:r>
      <w:r w:rsidR="00316E06">
        <w:rPr>
          <w:rFonts w:ascii="Arial" w:hAnsi="Arial" w:cs="Arial"/>
          <w:sz w:val="22"/>
          <w:szCs w:val="22"/>
        </w:rPr>
        <w:t>provision to meet the new legal requirements and parental need</w:t>
      </w:r>
      <w:r w:rsidR="00CD28F2" w:rsidRPr="00956BBF">
        <w:rPr>
          <w:rFonts w:ascii="Arial" w:hAnsi="Arial" w:cs="Arial"/>
          <w:sz w:val="22"/>
          <w:szCs w:val="22"/>
        </w:rPr>
        <w:t xml:space="preserve"> – see key messages below.</w:t>
      </w:r>
    </w:p>
    <w:p w14:paraId="71B480FF" w14:textId="77777777" w:rsidR="005457C8" w:rsidRPr="00956BBF" w:rsidRDefault="003F36E0" w:rsidP="00956BBF">
      <w:pPr>
        <w:spacing w:after="200" w:line="280" w:lineRule="atLeast"/>
        <w:rPr>
          <w:rFonts w:ascii="Arial" w:hAnsi="Arial" w:cs="Arial"/>
          <w:i/>
          <w:sz w:val="22"/>
          <w:szCs w:val="22"/>
        </w:rPr>
      </w:pPr>
      <w:r w:rsidRPr="00956BBF">
        <w:rPr>
          <w:rFonts w:ascii="Arial" w:hAnsi="Arial" w:cs="Arial"/>
          <w:i/>
          <w:sz w:val="22"/>
          <w:szCs w:val="22"/>
        </w:rPr>
        <w:t>Models of delivery</w:t>
      </w:r>
    </w:p>
    <w:p w14:paraId="34C5A096" w14:textId="156A8B79" w:rsidR="00211895" w:rsidRPr="00956BBF" w:rsidRDefault="003F36E0" w:rsidP="00956BBF">
      <w:pPr>
        <w:spacing w:after="200" w:line="280" w:lineRule="atLeast"/>
        <w:rPr>
          <w:rFonts w:ascii="Arial" w:hAnsi="Arial" w:cs="Arial"/>
          <w:sz w:val="22"/>
          <w:szCs w:val="22"/>
        </w:rPr>
      </w:pPr>
      <w:r w:rsidRPr="00956BBF">
        <w:rPr>
          <w:rFonts w:ascii="Arial" w:hAnsi="Arial" w:cs="Arial"/>
          <w:sz w:val="22"/>
          <w:szCs w:val="22"/>
        </w:rPr>
        <w:t xml:space="preserve">The </w:t>
      </w:r>
      <w:hyperlink r:id="rId10" w:history="1">
        <w:r w:rsidR="001F1FCE" w:rsidRPr="00AC19BB">
          <w:rPr>
            <w:rStyle w:val="Hyperlink"/>
            <w:rFonts w:ascii="Arial" w:hAnsi="Arial" w:cs="Arial"/>
            <w:b/>
            <w:sz w:val="22"/>
            <w:szCs w:val="22"/>
          </w:rPr>
          <w:t>D</w:t>
        </w:r>
        <w:r w:rsidR="00B669B4" w:rsidRPr="00AC19BB">
          <w:rPr>
            <w:rStyle w:val="Hyperlink"/>
            <w:rFonts w:ascii="Arial" w:hAnsi="Arial" w:cs="Arial"/>
            <w:b/>
            <w:sz w:val="22"/>
            <w:szCs w:val="22"/>
          </w:rPr>
          <w:t>elivery M</w:t>
        </w:r>
        <w:r w:rsidRPr="00AC19BB">
          <w:rPr>
            <w:rStyle w:val="Hyperlink"/>
            <w:rFonts w:ascii="Arial" w:hAnsi="Arial" w:cs="Arial"/>
            <w:b/>
            <w:sz w:val="22"/>
            <w:szCs w:val="22"/>
          </w:rPr>
          <w:t>odels</w:t>
        </w:r>
      </w:hyperlink>
      <w:r w:rsidRPr="00956BBF">
        <w:rPr>
          <w:rFonts w:ascii="Arial" w:hAnsi="Arial" w:cs="Arial"/>
          <w:b/>
          <w:color w:val="0000FF"/>
          <w:sz w:val="22"/>
          <w:szCs w:val="22"/>
        </w:rPr>
        <w:t xml:space="preserve"> </w:t>
      </w:r>
      <w:r w:rsidRPr="00956BBF">
        <w:rPr>
          <w:rFonts w:ascii="Arial" w:hAnsi="Arial" w:cs="Arial"/>
          <w:sz w:val="22"/>
          <w:szCs w:val="22"/>
        </w:rPr>
        <w:t>thematic case studies</w:t>
      </w:r>
      <w:r w:rsidRPr="00956BBF">
        <w:rPr>
          <w:rFonts w:ascii="Arial" w:hAnsi="Arial" w:cs="Arial"/>
          <w:b/>
          <w:color w:val="0000FF"/>
          <w:sz w:val="22"/>
          <w:szCs w:val="22"/>
        </w:rPr>
        <w:t xml:space="preserve"> </w:t>
      </w:r>
      <w:r w:rsidRPr="00956BBF">
        <w:rPr>
          <w:rFonts w:ascii="Arial" w:hAnsi="Arial" w:cs="Arial"/>
          <w:sz w:val="22"/>
          <w:szCs w:val="22"/>
        </w:rPr>
        <w:t xml:space="preserve">outline a number of different partnership approaches to delivering the new entitlement.  In one ‘blended’ model children move between providers, in </w:t>
      </w:r>
      <w:r w:rsidR="003D2353" w:rsidRPr="00956BBF">
        <w:rPr>
          <w:rFonts w:ascii="Arial" w:hAnsi="Arial" w:cs="Arial"/>
          <w:sz w:val="22"/>
          <w:szCs w:val="22"/>
        </w:rPr>
        <w:t xml:space="preserve">another </w:t>
      </w:r>
      <w:r w:rsidR="00211895" w:rsidRPr="00956BBF">
        <w:rPr>
          <w:rFonts w:ascii="Arial" w:hAnsi="Arial" w:cs="Arial"/>
          <w:sz w:val="22"/>
          <w:szCs w:val="22"/>
        </w:rPr>
        <w:t>staff</w:t>
      </w:r>
      <w:r w:rsidRPr="00956BBF">
        <w:rPr>
          <w:rFonts w:ascii="Arial" w:hAnsi="Arial" w:cs="Arial"/>
          <w:sz w:val="22"/>
          <w:szCs w:val="22"/>
        </w:rPr>
        <w:t xml:space="preserve"> move and </w:t>
      </w:r>
      <w:r w:rsidR="003D2353" w:rsidRPr="00956BBF">
        <w:rPr>
          <w:rFonts w:ascii="Arial" w:hAnsi="Arial" w:cs="Arial"/>
          <w:sz w:val="22"/>
          <w:szCs w:val="22"/>
        </w:rPr>
        <w:t xml:space="preserve">in another </w:t>
      </w:r>
      <w:r w:rsidR="00211895" w:rsidRPr="00956BBF">
        <w:rPr>
          <w:rFonts w:ascii="Arial" w:hAnsi="Arial" w:cs="Arial"/>
          <w:sz w:val="22"/>
          <w:szCs w:val="22"/>
        </w:rPr>
        <w:t>both staff and children move</w:t>
      </w:r>
      <w:r w:rsidR="003D2353" w:rsidRPr="00956BBF">
        <w:rPr>
          <w:rFonts w:ascii="Arial" w:hAnsi="Arial" w:cs="Arial"/>
          <w:sz w:val="22"/>
          <w:szCs w:val="22"/>
        </w:rPr>
        <w:t>.  Another model involves delivering part or all of the entitlement through outdoor learning</w:t>
      </w:r>
      <w:r w:rsidR="00211895" w:rsidRPr="00956BBF">
        <w:rPr>
          <w:rFonts w:ascii="Arial" w:hAnsi="Arial" w:cs="Arial"/>
          <w:sz w:val="22"/>
          <w:szCs w:val="22"/>
        </w:rPr>
        <w:t xml:space="preserve"> and another model involves partnerships between childminders</w:t>
      </w:r>
      <w:r w:rsidR="003D2353" w:rsidRPr="00956BBF">
        <w:rPr>
          <w:rFonts w:ascii="Arial" w:hAnsi="Arial" w:cs="Arial"/>
          <w:sz w:val="22"/>
          <w:szCs w:val="22"/>
        </w:rPr>
        <w:t>.</w:t>
      </w:r>
    </w:p>
    <w:p w14:paraId="6ACBBCE5" w14:textId="79CEFB56" w:rsidR="003F36E0" w:rsidRPr="00956BBF" w:rsidRDefault="00211895" w:rsidP="00956BBF">
      <w:pPr>
        <w:spacing w:after="200" w:line="280" w:lineRule="atLeast"/>
        <w:rPr>
          <w:rFonts w:ascii="Arial" w:hAnsi="Arial" w:cs="Arial"/>
          <w:sz w:val="22"/>
          <w:szCs w:val="22"/>
        </w:rPr>
      </w:pPr>
      <w:r w:rsidRPr="00956BBF">
        <w:rPr>
          <w:rFonts w:ascii="Arial" w:hAnsi="Arial" w:cs="Arial"/>
          <w:sz w:val="22"/>
          <w:szCs w:val="22"/>
        </w:rPr>
        <w:lastRenderedPageBreak/>
        <w:t xml:space="preserve">The case studies identify many benefits of each model but they also acknowledge that </w:t>
      </w:r>
      <w:r w:rsidR="00735CB9" w:rsidRPr="00956BBF">
        <w:rPr>
          <w:rFonts w:ascii="Arial" w:hAnsi="Arial" w:cs="Arial"/>
          <w:sz w:val="22"/>
          <w:szCs w:val="22"/>
        </w:rPr>
        <w:t>parents may have concerns, p</w:t>
      </w:r>
      <w:r w:rsidR="003925DE" w:rsidRPr="00956BBF">
        <w:rPr>
          <w:rFonts w:ascii="Arial" w:hAnsi="Arial" w:cs="Arial"/>
          <w:sz w:val="22"/>
          <w:szCs w:val="22"/>
        </w:rPr>
        <w:t>articularly where the delivery model is different to what the family has previously experienced</w:t>
      </w:r>
      <w:r w:rsidR="00735CB9" w:rsidRPr="00956BBF">
        <w:rPr>
          <w:rFonts w:ascii="Arial" w:hAnsi="Arial" w:cs="Arial"/>
          <w:sz w:val="22"/>
          <w:szCs w:val="22"/>
        </w:rPr>
        <w:t>.  For example</w:t>
      </w:r>
      <w:r w:rsidR="00F31AD2">
        <w:rPr>
          <w:rFonts w:ascii="Arial" w:hAnsi="Arial" w:cs="Arial"/>
          <w:sz w:val="22"/>
          <w:szCs w:val="22"/>
        </w:rPr>
        <w:t>:</w:t>
      </w:r>
    </w:p>
    <w:p w14:paraId="251A8D5C" w14:textId="097C8759" w:rsidR="00E231DE" w:rsidRPr="00956BBF" w:rsidRDefault="003925DE" w:rsidP="00BA3A2F">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I</w:t>
      </w:r>
      <w:r w:rsidR="00E231DE" w:rsidRPr="00956BBF">
        <w:rPr>
          <w:rFonts w:ascii="Arial" w:hAnsi="Arial" w:cs="Arial"/>
          <w:sz w:val="22"/>
          <w:szCs w:val="22"/>
        </w:rPr>
        <w:t xml:space="preserve">n models where </w:t>
      </w:r>
      <w:r w:rsidR="00B704CC" w:rsidRPr="00956BBF">
        <w:rPr>
          <w:rFonts w:ascii="Arial" w:hAnsi="Arial" w:cs="Arial"/>
          <w:sz w:val="22"/>
          <w:szCs w:val="22"/>
        </w:rPr>
        <w:t>early education</w:t>
      </w:r>
      <w:r w:rsidR="00956BBF" w:rsidRPr="00956BBF">
        <w:rPr>
          <w:rFonts w:ascii="Arial" w:hAnsi="Arial" w:cs="Arial"/>
          <w:sz w:val="22"/>
          <w:szCs w:val="22"/>
        </w:rPr>
        <w:t xml:space="preserve"> and childcare</w:t>
      </w:r>
      <w:r w:rsidR="00B704CC" w:rsidRPr="00956BBF">
        <w:rPr>
          <w:rFonts w:ascii="Arial" w:hAnsi="Arial" w:cs="Arial"/>
          <w:sz w:val="22"/>
          <w:szCs w:val="22"/>
        </w:rPr>
        <w:t xml:space="preserve"> </w:t>
      </w:r>
      <w:r w:rsidRPr="00956BBF">
        <w:rPr>
          <w:rFonts w:ascii="Arial" w:hAnsi="Arial" w:cs="Arial"/>
          <w:sz w:val="22"/>
          <w:szCs w:val="22"/>
        </w:rPr>
        <w:t>is shared across providers</w:t>
      </w:r>
      <w:r w:rsidR="00E231DE" w:rsidRPr="00956BBF">
        <w:rPr>
          <w:rFonts w:ascii="Arial" w:hAnsi="Arial" w:cs="Arial"/>
          <w:sz w:val="22"/>
          <w:szCs w:val="22"/>
        </w:rPr>
        <w:t>,</w:t>
      </w:r>
      <w:r w:rsidRPr="00956BBF">
        <w:rPr>
          <w:rFonts w:ascii="Arial" w:hAnsi="Arial" w:cs="Arial"/>
          <w:sz w:val="22"/>
          <w:szCs w:val="22"/>
        </w:rPr>
        <w:t xml:space="preserve"> will there be an adverse </w:t>
      </w:r>
      <w:r w:rsidR="00C26E2C">
        <w:rPr>
          <w:rFonts w:ascii="Arial" w:hAnsi="Arial" w:cs="Arial"/>
          <w:sz w:val="22"/>
          <w:szCs w:val="22"/>
        </w:rPr>
        <w:t>impact on children’s</w:t>
      </w:r>
      <w:r w:rsidR="00735CB9" w:rsidRPr="00956BBF">
        <w:rPr>
          <w:rFonts w:ascii="Arial" w:hAnsi="Arial" w:cs="Arial"/>
          <w:sz w:val="22"/>
          <w:szCs w:val="22"/>
        </w:rPr>
        <w:t xml:space="preserve"> learning</w:t>
      </w:r>
      <w:r w:rsidRPr="00956BBF">
        <w:rPr>
          <w:rFonts w:ascii="Arial" w:hAnsi="Arial" w:cs="Arial"/>
          <w:sz w:val="22"/>
          <w:szCs w:val="22"/>
        </w:rPr>
        <w:t xml:space="preserve">? </w:t>
      </w:r>
      <w:r w:rsidR="00E231DE" w:rsidRPr="00956BBF">
        <w:rPr>
          <w:rFonts w:ascii="Arial" w:hAnsi="Arial" w:cs="Arial"/>
          <w:sz w:val="22"/>
          <w:szCs w:val="22"/>
        </w:rPr>
        <w:t xml:space="preserve">How will staff plan learning so that there are no gaps and duplication is minimised? How can parents </w:t>
      </w:r>
      <w:proofErr w:type="gramStart"/>
      <w:r w:rsidR="00E231DE" w:rsidRPr="00956BBF">
        <w:rPr>
          <w:rFonts w:ascii="Arial" w:hAnsi="Arial" w:cs="Arial"/>
          <w:sz w:val="22"/>
          <w:szCs w:val="22"/>
        </w:rPr>
        <w:t>be</w:t>
      </w:r>
      <w:proofErr w:type="gramEnd"/>
      <w:r w:rsidR="00E231DE" w:rsidRPr="00956BBF">
        <w:rPr>
          <w:rFonts w:ascii="Arial" w:hAnsi="Arial" w:cs="Arial"/>
          <w:sz w:val="22"/>
          <w:szCs w:val="22"/>
        </w:rPr>
        <w:t xml:space="preserve"> assured that staff will identify and meet their child’s learning needs? </w:t>
      </w:r>
      <w:r w:rsidRPr="00956BBF">
        <w:rPr>
          <w:rFonts w:ascii="Arial" w:hAnsi="Arial" w:cs="Arial"/>
          <w:sz w:val="22"/>
          <w:szCs w:val="22"/>
        </w:rPr>
        <w:t xml:space="preserve">Will staff share information sensitively in a way that maximises benefits for the child? </w:t>
      </w:r>
      <w:r w:rsidR="00735CB9" w:rsidRPr="00956BBF">
        <w:rPr>
          <w:rFonts w:ascii="Arial" w:hAnsi="Arial" w:cs="Arial"/>
          <w:sz w:val="22"/>
          <w:szCs w:val="22"/>
        </w:rPr>
        <w:t xml:space="preserve"> </w:t>
      </w:r>
    </w:p>
    <w:p w14:paraId="06ADD91E" w14:textId="77777777" w:rsidR="00E231DE" w:rsidRPr="00956BBF" w:rsidRDefault="00E231DE" w:rsidP="00BA3A2F">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In models where children are moving between providers, how will staff ensure the safety of children</w:t>
      </w:r>
      <w:r w:rsidR="005B2E7E" w:rsidRPr="00956BBF">
        <w:rPr>
          <w:rFonts w:ascii="Arial" w:hAnsi="Arial" w:cs="Arial"/>
          <w:sz w:val="22"/>
          <w:szCs w:val="22"/>
        </w:rPr>
        <w:t>?  How will children be transported from one setting to another?</w:t>
      </w:r>
    </w:p>
    <w:p w14:paraId="566F0D71" w14:textId="0892C7E0" w:rsidR="00735CB9" w:rsidRPr="00956BBF" w:rsidRDefault="00E231DE" w:rsidP="00BA3A2F">
      <w:pPr>
        <w:pStyle w:val="ListBullet"/>
        <w:numPr>
          <w:ilvl w:val="0"/>
          <w:numId w:val="16"/>
        </w:numPr>
        <w:rPr>
          <w:rFonts w:ascii="Arial" w:hAnsi="Arial" w:cs="Arial"/>
          <w:sz w:val="22"/>
          <w:szCs w:val="22"/>
        </w:rPr>
      </w:pPr>
      <w:r w:rsidRPr="00956BBF">
        <w:rPr>
          <w:rFonts w:ascii="Arial" w:hAnsi="Arial" w:cs="Arial"/>
          <w:sz w:val="22"/>
          <w:szCs w:val="22"/>
        </w:rPr>
        <w:t>In outdoor learning models</w:t>
      </w:r>
      <w:r w:rsidR="00D20996">
        <w:rPr>
          <w:rFonts w:ascii="Arial" w:hAnsi="Arial" w:cs="Arial"/>
          <w:sz w:val="22"/>
          <w:szCs w:val="22"/>
        </w:rPr>
        <w:t>,</w:t>
      </w:r>
      <w:r w:rsidRPr="00956BBF">
        <w:rPr>
          <w:rFonts w:ascii="Arial" w:hAnsi="Arial" w:cs="Arial"/>
          <w:sz w:val="22"/>
          <w:szCs w:val="22"/>
        </w:rPr>
        <w:t xml:space="preserve"> </w:t>
      </w:r>
      <w:r w:rsidR="005B2E7E" w:rsidRPr="00956BBF">
        <w:rPr>
          <w:rFonts w:ascii="Arial" w:hAnsi="Arial" w:cs="Arial"/>
          <w:sz w:val="22"/>
          <w:szCs w:val="22"/>
        </w:rPr>
        <w:t>how will the</w:t>
      </w:r>
      <w:r w:rsidR="00735CB9" w:rsidRPr="00956BBF">
        <w:rPr>
          <w:rFonts w:ascii="Arial" w:hAnsi="Arial" w:cs="Arial"/>
          <w:sz w:val="22"/>
          <w:szCs w:val="22"/>
        </w:rPr>
        <w:t xml:space="preserve"> safety of child</w:t>
      </w:r>
      <w:r w:rsidR="005B2E7E" w:rsidRPr="00956BBF">
        <w:rPr>
          <w:rFonts w:ascii="Arial" w:hAnsi="Arial" w:cs="Arial"/>
          <w:sz w:val="22"/>
          <w:szCs w:val="22"/>
        </w:rPr>
        <w:t xml:space="preserve">ren </w:t>
      </w:r>
      <w:proofErr w:type="gramStart"/>
      <w:r w:rsidR="005B2E7E" w:rsidRPr="00956BBF">
        <w:rPr>
          <w:rFonts w:ascii="Arial" w:hAnsi="Arial" w:cs="Arial"/>
          <w:sz w:val="22"/>
          <w:szCs w:val="22"/>
        </w:rPr>
        <w:t>be</w:t>
      </w:r>
      <w:proofErr w:type="gramEnd"/>
      <w:r w:rsidR="005B2E7E" w:rsidRPr="00956BBF">
        <w:rPr>
          <w:rFonts w:ascii="Arial" w:hAnsi="Arial" w:cs="Arial"/>
          <w:sz w:val="22"/>
          <w:szCs w:val="22"/>
        </w:rPr>
        <w:t xml:space="preserve"> ensured? What happens during adverse weather conditions?  How will children be able to go to the toilet?</w:t>
      </w:r>
    </w:p>
    <w:p w14:paraId="7D639511" w14:textId="77777777" w:rsidR="00211895" w:rsidRPr="00956BBF" w:rsidRDefault="00211895">
      <w:pPr>
        <w:rPr>
          <w:rFonts w:ascii="Arial" w:hAnsi="Arial" w:cs="Arial"/>
          <w:sz w:val="22"/>
          <w:szCs w:val="22"/>
        </w:rPr>
      </w:pPr>
    </w:p>
    <w:p w14:paraId="705AB864" w14:textId="77777777" w:rsidR="00FA29ED" w:rsidRPr="00956BBF" w:rsidRDefault="00FA29ED" w:rsidP="00956BBF">
      <w:pPr>
        <w:spacing w:after="200" w:line="280" w:lineRule="atLeast"/>
        <w:jc w:val="both"/>
        <w:rPr>
          <w:rFonts w:ascii="Arial" w:hAnsi="Arial" w:cs="Arial"/>
          <w:i/>
          <w:sz w:val="22"/>
          <w:szCs w:val="22"/>
        </w:rPr>
      </w:pPr>
      <w:r w:rsidRPr="00956BBF">
        <w:rPr>
          <w:rFonts w:ascii="Arial" w:hAnsi="Arial" w:cs="Arial"/>
          <w:i/>
          <w:sz w:val="22"/>
          <w:szCs w:val="22"/>
        </w:rPr>
        <w:t>Paying for top up</w:t>
      </w:r>
    </w:p>
    <w:p w14:paraId="6360C10C" w14:textId="6015781D" w:rsidR="00FA29ED" w:rsidRPr="00956BBF" w:rsidRDefault="00FA29ED" w:rsidP="00956BBF">
      <w:pPr>
        <w:spacing w:after="200" w:line="280" w:lineRule="atLeast"/>
        <w:rPr>
          <w:rFonts w:ascii="Arial" w:hAnsi="Arial" w:cs="Arial"/>
          <w:sz w:val="22"/>
          <w:szCs w:val="22"/>
        </w:rPr>
      </w:pPr>
      <w:r w:rsidRPr="00956BBF">
        <w:rPr>
          <w:rFonts w:ascii="Arial" w:hAnsi="Arial" w:cs="Arial"/>
          <w:sz w:val="22"/>
          <w:szCs w:val="22"/>
        </w:rPr>
        <w:t>All eligible children will be entitled to 1,140 hours per year – equivalent to 30 hours per week over 38 weeks.  Many parents currently pay for additional hours</w:t>
      </w:r>
      <w:r w:rsidR="00682035" w:rsidRPr="00956BBF">
        <w:rPr>
          <w:rFonts w:ascii="Arial" w:hAnsi="Arial" w:cs="Arial"/>
          <w:sz w:val="22"/>
          <w:szCs w:val="22"/>
        </w:rPr>
        <w:t xml:space="preserve"> to cover a longer day</w:t>
      </w:r>
      <w:r w:rsidR="00967628" w:rsidRPr="00956BBF">
        <w:rPr>
          <w:rFonts w:ascii="Arial" w:hAnsi="Arial" w:cs="Arial"/>
          <w:sz w:val="22"/>
          <w:szCs w:val="22"/>
        </w:rPr>
        <w:t xml:space="preserve"> or during holiday periods.  Within the extended entitlement parents will still be able to do this but </w:t>
      </w:r>
      <w:r w:rsidR="00F12794" w:rsidRPr="00956BBF">
        <w:rPr>
          <w:rFonts w:ascii="Arial" w:hAnsi="Arial" w:cs="Arial"/>
          <w:sz w:val="22"/>
          <w:szCs w:val="22"/>
        </w:rPr>
        <w:t>paying for additional hours should not be a condition of accessing their extended entitlement.</w:t>
      </w:r>
    </w:p>
    <w:p w14:paraId="13BB27F5" w14:textId="77777777" w:rsidR="00FA29ED" w:rsidRPr="00956BBF" w:rsidRDefault="00FA29ED" w:rsidP="00956BBF">
      <w:pPr>
        <w:spacing w:after="200" w:line="280" w:lineRule="atLeast"/>
        <w:jc w:val="both"/>
        <w:rPr>
          <w:rFonts w:ascii="Arial" w:hAnsi="Arial" w:cs="Arial"/>
          <w:i/>
          <w:sz w:val="22"/>
          <w:szCs w:val="22"/>
        </w:rPr>
      </w:pPr>
      <w:r w:rsidRPr="00956BBF">
        <w:rPr>
          <w:rFonts w:ascii="Arial" w:hAnsi="Arial" w:cs="Arial"/>
          <w:i/>
          <w:sz w:val="22"/>
          <w:szCs w:val="22"/>
        </w:rPr>
        <w:t>Flexibility and extended provision</w:t>
      </w:r>
    </w:p>
    <w:p w14:paraId="68229CE8" w14:textId="009BC511" w:rsidR="003331FD" w:rsidRPr="00956BBF" w:rsidRDefault="00A1574E" w:rsidP="00956BBF">
      <w:pPr>
        <w:spacing w:after="200" w:line="280" w:lineRule="atLeast"/>
        <w:rPr>
          <w:rFonts w:ascii="Arial" w:hAnsi="Arial" w:cs="Arial"/>
          <w:sz w:val="22"/>
          <w:szCs w:val="22"/>
        </w:rPr>
      </w:pPr>
      <w:r w:rsidRPr="00956BBF">
        <w:rPr>
          <w:rFonts w:ascii="Arial" w:hAnsi="Arial" w:cs="Arial"/>
          <w:sz w:val="22"/>
          <w:szCs w:val="22"/>
        </w:rPr>
        <w:t>The 1,140 hours per year – equivalent to 30 hours per week over 38 weeks – can be taken as part of a st</w:t>
      </w:r>
      <w:r w:rsidR="00792AA0" w:rsidRPr="00956BBF">
        <w:rPr>
          <w:rFonts w:ascii="Arial" w:hAnsi="Arial" w:cs="Arial"/>
          <w:sz w:val="22"/>
          <w:szCs w:val="22"/>
        </w:rPr>
        <w:t>retched or extended provision (see table below).  Not all providers will be able to offer flexibility but the benefit of delivering through a partnership is that options and flexibility can be maximised.</w:t>
      </w:r>
    </w:p>
    <w:tbl>
      <w:tblPr>
        <w:tblStyle w:val="TableGrid"/>
        <w:tblW w:w="0" w:type="auto"/>
        <w:tblLook w:val="04A0" w:firstRow="1" w:lastRow="0" w:firstColumn="1" w:lastColumn="0" w:noHBand="0" w:noVBand="1"/>
      </w:tblPr>
      <w:tblGrid>
        <w:gridCol w:w="1639"/>
        <w:gridCol w:w="1530"/>
        <w:gridCol w:w="1524"/>
        <w:gridCol w:w="1534"/>
        <w:gridCol w:w="1530"/>
        <w:gridCol w:w="1524"/>
      </w:tblGrid>
      <w:tr w:rsidR="003331FD" w:rsidRPr="00956BBF" w14:paraId="69E984AD" w14:textId="77777777" w:rsidTr="003331FD">
        <w:tc>
          <w:tcPr>
            <w:tcW w:w="1639" w:type="dxa"/>
          </w:tcPr>
          <w:p w14:paraId="31360184" w14:textId="77777777" w:rsidR="003331FD" w:rsidRPr="00956BBF" w:rsidRDefault="003331FD" w:rsidP="003331FD">
            <w:pPr>
              <w:jc w:val="center"/>
            </w:pPr>
            <w:r w:rsidRPr="00956BBF">
              <w:t>No. weeks</w:t>
            </w:r>
          </w:p>
        </w:tc>
        <w:tc>
          <w:tcPr>
            <w:tcW w:w="1530" w:type="dxa"/>
          </w:tcPr>
          <w:p w14:paraId="7FE4E7EF" w14:textId="77777777" w:rsidR="003331FD" w:rsidRPr="00956BBF" w:rsidRDefault="003331FD" w:rsidP="003331FD">
            <w:pPr>
              <w:jc w:val="center"/>
            </w:pPr>
            <w:r w:rsidRPr="00956BBF">
              <w:t>Hrs per week</w:t>
            </w:r>
          </w:p>
        </w:tc>
        <w:tc>
          <w:tcPr>
            <w:tcW w:w="1524" w:type="dxa"/>
          </w:tcPr>
          <w:p w14:paraId="0BA2CADE" w14:textId="77777777" w:rsidR="003331FD" w:rsidRPr="00956BBF" w:rsidRDefault="003331FD" w:rsidP="003331FD">
            <w:pPr>
              <w:jc w:val="center"/>
            </w:pPr>
            <w:r w:rsidRPr="00956BBF">
              <w:t>Hrs per day</w:t>
            </w:r>
          </w:p>
        </w:tc>
        <w:tc>
          <w:tcPr>
            <w:tcW w:w="1534" w:type="dxa"/>
          </w:tcPr>
          <w:p w14:paraId="7F4D50AE" w14:textId="77777777" w:rsidR="003331FD" w:rsidRPr="00956BBF" w:rsidRDefault="003331FD" w:rsidP="003331FD">
            <w:pPr>
              <w:jc w:val="center"/>
            </w:pPr>
            <w:r w:rsidRPr="00956BBF">
              <w:t>No. weeks</w:t>
            </w:r>
          </w:p>
        </w:tc>
        <w:tc>
          <w:tcPr>
            <w:tcW w:w="1530" w:type="dxa"/>
          </w:tcPr>
          <w:p w14:paraId="541D1F97" w14:textId="77777777" w:rsidR="003331FD" w:rsidRPr="00956BBF" w:rsidRDefault="003331FD" w:rsidP="003331FD">
            <w:pPr>
              <w:jc w:val="center"/>
            </w:pPr>
            <w:r w:rsidRPr="00956BBF">
              <w:t>Hrs per week</w:t>
            </w:r>
          </w:p>
        </w:tc>
        <w:tc>
          <w:tcPr>
            <w:tcW w:w="1524" w:type="dxa"/>
          </w:tcPr>
          <w:p w14:paraId="7C51D1C6" w14:textId="77777777" w:rsidR="003331FD" w:rsidRPr="00956BBF" w:rsidRDefault="003331FD" w:rsidP="003331FD">
            <w:pPr>
              <w:jc w:val="center"/>
            </w:pPr>
            <w:r w:rsidRPr="00956BBF">
              <w:t>Hrs per day</w:t>
            </w:r>
          </w:p>
        </w:tc>
      </w:tr>
      <w:tr w:rsidR="00792AA0" w:rsidRPr="00956BBF" w14:paraId="0DD0335F" w14:textId="77777777" w:rsidTr="003331FD">
        <w:tc>
          <w:tcPr>
            <w:tcW w:w="1639" w:type="dxa"/>
          </w:tcPr>
          <w:p w14:paraId="3E93C27B" w14:textId="5F5D0D61" w:rsidR="00792AA0" w:rsidRPr="00956BBF" w:rsidRDefault="00792AA0" w:rsidP="003331FD">
            <w:pPr>
              <w:jc w:val="center"/>
            </w:pPr>
            <w:r w:rsidRPr="00956BBF">
              <w:t>39</w:t>
            </w:r>
          </w:p>
        </w:tc>
        <w:tc>
          <w:tcPr>
            <w:tcW w:w="1530" w:type="dxa"/>
          </w:tcPr>
          <w:p w14:paraId="4598B629" w14:textId="0EE65422" w:rsidR="00792AA0" w:rsidRPr="00956BBF" w:rsidRDefault="00792AA0" w:rsidP="003331FD">
            <w:pPr>
              <w:jc w:val="center"/>
            </w:pPr>
            <w:r w:rsidRPr="00956BBF">
              <w:t>29.2</w:t>
            </w:r>
          </w:p>
        </w:tc>
        <w:tc>
          <w:tcPr>
            <w:tcW w:w="1524" w:type="dxa"/>
          </w:tcPr>
          <w:p w14:paraId="0E9115B2" w14:textId="6CD4E86F" w:rsidR="00792AA0" w:rsidRPr="00956BBF" w:rsidRDefault="00792AA0" w:rsidP="003331FD">
            <w:pPr>
              <w:jc w:val="center"/>
            </w:pPr>
            <w:r w:rsidRPr="00956BBF">
              <w:t>5.</w:t>
            </w:r>
            <w:r w:rsidR="00BF1B00" w:rsidRPr="00956BBF">
              <w:t>9</w:t>
            </w:r>
          </w:p>
        </w:tc>
        <w:tc>
          <w:tcPr>
            <w:tcW w:w="1534" w:type="dxa"/>
            <w:vAlign w:val="bottom"/>
          </w:tcPr>
          <w:p w14:paraId="6EF9F61F" w14:textId="50A4ED37" w:rsidR="00792AA0" w:rsidRPr="00956BBF" w:rsidRDefault="00792AA0" w:rsidP="003331FD">
            <w:pPr>
              <w:jc w:val="center"/>
            </w:pPr>
            <w:r w:rsidRPr="00956BBF">
              <w:rPr>
                <w:rFonts w:eastAsia="Times New Roman"/>
                <w:color w:val="000000"/>
              </w:rPr>
              <w:t>45</w:t>
            </w:r>
          </w:p>
        </w:tc>
        <w:tc>
          <w:tcPr>
            <w:tcW w:w="1530" w:type="dxa"/>
            <w:vAlign w:val="bottom"/>
          </w:tcPr>
          <w:p w14:paraId="066406C4" w14:textId="5B84D3F7" w:rsidR="00792AA0" w:rsidRPr="00956BBF" w:rsidRDefault="00792AA0" w:rsidP="003331FD">
            <w:pPr>
              <w:jc w:val="center"/>
            </w:pPr>
            <w:r w:rsidRPr="00956BBF">
              <w:rPr>
                <w:rFonts w:eastAsia="Times New Roman"/>
                <w:color w:val="000000"/>
              </w:rPr>
              <w:t>25.3</w:t>
            </w:r>
          </w:p>
        </w:tc>
        <w:tc>
          <w:tcPr>
            <w:tcW w:w="1524" w:type="dxa"/>
            <w:vAlign w:val="bottom"/>
          </w:tcPr>
          <w:p w14:paraId="46643849" w14:textId="0727D2C0" w:rsidR="00792AA0" w:rsidRPr="00956BBF" w:rsidRDefault="00792AA0" w:rsidP="003331FD">
            <w:pPr>
              <w:jc w:val="center"/>
            </w:pPr>
            <w:r w:rsidRPr="00956BBF">
              <w:rPr>
                <w:rFonts w:eastAsia="Times New Roman"/>
                <w:color w:val="000000"/>
              </w:rPr>
              <w:t>5.</w:t>
            </w:r>
            <w:r w:rsidR="00BF1B00" w:rsidRPr="00956BBF">
              <w:rPr>
                <w:rFonts w:eastAsia="Times New Roman"/>
                <w:color w:val="000000"/>
              </w:rPr>
              <w:t>1</w:t>
            </w:r>
          </w:p>
        </w:tc>
      </w:tr>
      <w:tr w:rsidR="00792AA0" w:rsidRPr="00956BBF" w14:paraId="2F83B880" w14:textId="77777777" w:rsidTr="003331FD">
        <w:tc>
          <w:tcPr>
            <w:tcW w:w="1639" w:type="dxa"/>
            <w:vAlign w:val="bottom"/>
          </w:tcPr>
          <w:p w14:paraId="074F77BE" w14:textId="6FFC9396" w:rsidR="00792AA0" w:rsidRPr="00956BBF" w:rsidRDefault="00792AA0" w:rsidP="003331FD">
            <w:pPr>
              <w:jc w:val="center"/>
            </w:pPr>
            <w:r w:rsidRPr="00956BBF">
              <w:t>40</w:t>
            </w:r>
          </w:p>
        </w:tc>
        <w:tc>
          <w:tcPr>
            <w:tcW w:w="1530" w:type="dxa"/>
            <w:vAlign w:val="bottom"/>
          </w:tcPr>
          <w:p w14:paraId="0EB1584B" w14:textId="35366016" w:rsidR="00792AA0" w:rsidRPr="00956BBF" w:rsidRDefault="00792AA0" w:rsidP="00BF1B00">
            <w:pPr>
              <w:jc w:val="center"/>
            </w:pPr>
            <w:r w:rsidRPr="00956BBF">
              <w:t>28.5</w:t>
            </w:r>
          </w:p>
        </w:tc>
        <w:tc>
          <w:tcPr>
            <w:tcW w:w="1524" w:type="dxa"/>
            <w:vAlign w:val="bottom"/>
          </w:tcPr>
          <w:p w14:paraId="4494E56D" w14:textId="3EE5C91C" w:rsidR="00792AA0" w:rsidRPr="00956BBF" w:rsidRDefault="00792AA0" w:rsidP="003331FD">
            <w:pPr>
              <w:jc w:val="center"/>
            </w:pPr>
            <w:r w:rsidRPr="00956BBF">
              <w:t>5.7</w:t>
            </w:r>
          </w:p>
        </w:tc>
        <w:tc>
          <w:tcPr>
            <w:tcW w:w="1534" w:type="dxa"/>
            <w:vAlign w:val="bottom"/>
          </w:tcPr>
          <w:p w14:paraId="1F325892" w14:textId="536601A5" w:rsidR="00792AA0" w:rsidRPr="00956BBF" w:rsidRDefault="00792AA0" w:rsidP="003331FD">
            <w:pPr>
              <w:jc w:val="center"/>
            </w:pPr>
            <w:r w:rsidRPr="00956BBF">
              <w:rPr>
                <w:rFonts w:eastAsia="Times New Roman"/>
                <w:color w:val="000000"/>
              </w:rPr>
              <w:t>46</w:t>
            </w:r>
          </w:p>
        </w:tc>
        <w:tc>
          <w:tcPr>
            <w:tcW w:w="1530" w:type="dxa"/>
            <w:vAlign w:val="bottom"/>
          </w:tcPr>
          <w:p w14:paraId="697CA7F0" w14:textId="3D800B4B" w:rsidR="00792AA0" w:rsidRPr="00956BBF" w:rsidRDefault="00BF1B00" w:rsidP="003331FD">
            <w:pPr>
              <w:jc w:val="center"/>
            </w:pPr>
            <w:r w:rsidRPr="00956BBF">
              <w:rPr>
                <w:rFonts w:eastAsia="Times New Roman"/>
                <w:color w:val="000000"/>
              </w:rPr>
              <w:t>24.</w:t>
            </w:r>
            <w:r w:rsidR="00792AA0" w:rsidRPr="00956BBF">
              <w:rPr>
                <w:rFonts w:eastAsia="Times New Roman"/>
                <w:color w:val="000000"/>
              </w:rPr>
              <w:t>8</w:t>
            </w:r>
          </w:p>
        </w:tc>
        <w:tc>
          <w:tcPr>
            <w:tcW w:w="1524" w:type="dxa"/>
            <w:vAlign w:val="bottom"/>
          </w:tcPr>
          <w:p w14:paraId="6E43864A" w14:textId="1FCB9CE1" w:rsidR="00792AA0" w:rsidRPr="00956BBF" w:rsidRDefault="00BF1B00" w:rsidP="003331FD">
            <w:pPr>
              <w:jc w:val="center"/>
            </w:pPr>
            <w:r w:rsidRPr="00956BBF">
              <w:rPr>
                <w:rFonts w:eastAsia="Times New Roman"/>
                <w:color w:val="000000"/>
              </w:rPr>
              <w:t>5.0</w:t>
            </w:r>
          </w:p>
        </w:tc>
      </w:tr>
      <w:tr w:rsidR="00792AA0" w:rsidRPr="00956BBF" w14:paraId="1D2AE9CE" w14:textId="77777777" w:rsidTr="003331FD">
        <w:tc>
          <w:tcPr>
            <w:tcW w:w="1639" w:type="dxa"/>
            <w:vAlign w:val="bottom"/>
          </w:tcPr>
          <w:p w14:paraId="6B49C477" w14:textId="2EE5E34D" w:rsidR="00792AA0" w:rsidRPr="00956BBF" w:rsidRDefault="00792AA0" w:rsidP="003331FD">
            <w:pPr>
              <w:jc w:val="center"/>
            </w:pPr>
            <w:r w:rsidRPr="00956BBF">
              <w:rPr>
                <w:rFonts w:eastAsia="Times New Roman"/>
                <w:color w:val="000000"/>
              </w:rPr>
              <w:t>41</w:t>
            </w:r>
          </w:p>
        </w:tc>
        <w:tc>
          <w:tcPr>
            <w:tcW w:w="1530" w:type="dxa"/>
            <w:vAlign w:val="bottom"/>
          </w:tcPr>
          <w:p w14:paraId="0802EB64" w14:textId="02110DA1" w:rsidR="00792AA0" w:rsidRPr="00956BBF" w:rsidRDefault="00792AA0" w:rsidP="00BF1B00">
            <w:pPr>
              <w:jc w:val="center"/>
            </w:pPr>
            <w:r w:rsidRPr="00956BBF">
              <w:rPr>
                <w:rFonts w:eastAsia="Times New Roman"/>
                <w:color w:val="000000"/>
              </w:rPr>
              <w:t>27.8</w:t>
            </w:r>
          </w:p>
        </w:tc>
        <w:tc>
          <w:tcPr>
            <w:tcW w:w="1524" w:type="dxa"/>
            <w:vAlign w:val="bottom"/>
          </w:tcPr>
          <w:p w14:paraId="730D0D01" w14:textId="758EC080" w:rsidR="00792AA0" w:rsidRPr="00956BBF" w:rsidRDefault="00BF1B00" w:rsidP="003331FD">
            <w:pPr>
              <w:jc w:val="center"/>
            </w:pPr>
            <w:r w:rsidRPr="00956BBF">
              <w:rPr>
                <w:rFonts w:eastAsia="Times New Roman"/>
                <w:color w:val="000000"/>
              </w:rPr>
              <w:t>5.</w:t>
            </w:r>
            <w:r w:rsidR="00792AA0" w:rsidRPr="00956BBF">
              <w:rPr>
                <w:rFonts w:eastAsia="Times New Roman"/>
                <w:color w:val="000000"/>
              </w:rPr>
              <w:t>6</w:t>
            </w:r>
          </w:p>
        </w:tc>
        <w:tc>
          <w:tcPr>
            <w:tcW w:w="1534" w:type="dxa"/>
            <w:vAlign w:val="bottom"/>
          </w:tcPr>
          <w:p w14:paraId="56B8C99C" w14:textId="00669DDC" w:rsidR="00792AA0" w:rsidRPr="00956BBF" w:rsidRDefault="00792AA0" w:rsidP="003331FD">
            <w:pPr>
              <w:jc w:val="center"/>
            </w:pPr>
            <w:r w:rsidRPr="00956BBF">
              <w:rPr>
                <w:rFonts w:eastAsia="Times New Roman"/>
                <w:color w:val="000000"/>
              </w:rPr>
              <w:t>47</w:t>
            </w:r>
          </w:p>
        </w:tc>
        <w:tc>
          <w:tcPr>
            <w:tcW w:w="1530" w:type="dxa"/>
            <w:vAlign w:val="bottom"/>
          </w:tcPr>
          <w:p w14:paraId="0A1B5565" w14:textId="3B8DA21F" w:rsidR="00792AA0" w:rsidRPr="00956BBF" w:rsidRDefault="00BF1B00" w:rsidP="00BF1B00">
            <w:pPr>
              <w:jc w:val="center"/>
            </w:pPr>
            <w:r w:rsidRPr="00956BBF">
              <w:rPr>
                <w:rFonts w:eastAsia="Times New Roman"/>
                <w:color w:val="000000"/>
              </w:rPr>
              <w:t>24.3</w:t>
            </w:r>
          </w:p>
        </w:tc>
        <w:tc>
          <w:tcPr>
            <w:tcW w:w="1524" w:type="dxa"/>
            <w:vAlign w:val="bottom"/>
          </w:tcPr>
          <w:p w14:paraId="55A7B07F" w14:textId="0EF98049" w:rsidR="00792AA0" w:rsidRPr="00956BBF" w:rsidRDefault="00792AA0" w:rsidP="003331FD">
            <w:pPr>
              <w:jc w:val="center"/>
            </w:pPr>
            <w:r w:rsidRPr="00956BBF">
              <w:rPr>
                <w:rFonts w:eastAsia="Times New Roman"/>
                <w:color w:val="000000"/>
              </w:rPr>
              <w:t>4.</w:t>
            </w:r>
            <w:r w:rsidR="00BF1B00" w:rsidRPr="00956BBF">
              <w:rPr>
                <w:rFonts w:eastAsia="Times New Roman"/>
                <w:color w:val="000000"/>
              </w:rPr>
              <w:t>9</w:t>
            </w:r>
          </w:p>
        </w:tc>
      </w:tr>
      <w:tr w:rsidR="00792AA0" w:rsidRPr="00956BBF" w14:paraId="39B85A89" w14:textId="77777777" w:rsidTr="003331FD">
        <w:tc>
          <w:tcPr>
            <w:tcW w:w="1639" w:type="dxa"/>
            <w:vAlign w:val="bottom"/>
          </w:tcPr>
          <w:p w14:paraId="12584C5F" w14:textId="569192BC" w:rsidR="00792AA0" w:rsidRPr="00956BBF" w:rsidRDefault="00792AA0" w:rsidP="003331FD">
            <w:pPr>
              <w:jc w:val="center"/>
            </w:pPr>
            <w:r w:rsidRPr="00956BBF">
              <w:rPr>
                <w:rFonts w:eastAsia="Times New Roman"/>
                <w:color w:val="000000"/>
              </w:rPr>
              <w:t>42</w:t>
            </w:r>
          </w:p>
        </w:tc>
        <w:tc>
          <w:tcPr>
            <w:tcW w:w="1530" w:type="dxa"/>
            <w:vAlign w:val="bottom"/>
          </w:tcPr>
          <w:p w14:paraId="60768564" w14:textId="63448099" w:rsidR="00792AA0" w:rsidRPr="00956BBF" w:rsidRDefault="00792AA0" w:rsidP="00BF1B00">
            <w:pPr>
              <w:jc w:val="center"/>
            </w:pPr>
            <w:r w:rsidRPr="00956BBF">
              <w:rPr>
                <w:rFonts w:eastAsia="Times New Roman"/>
                <w:color w:val="000000"/>
              </w:rPr>
              <w:t>27.1</w:t>
            </w:r>
          </w:p>
        </w:tc>
        <w:tc>
          <w:tcPr>
            <w:tcW w:w="1524" w:type="dxa"/>
            <w:vAlign w:val="bottom"/>
          </w:tcPr>
          <w:p w14:paraId="3DE845F7" w14:textId="007BF7B3" w:rsidR="00792AA0" w:rsidRPr="00956BBF" w:rsidRDefault="00792AA0" w:rsidP="00BF1B00">
            <w:pPr>
              <w:jc w:val="center"/>
            </w:pPr>
            <w:r w:rsidRPr="00956BBF">
              <w:rPr>
                <w:rFonts w:eastAsia="Times New Roman"/>
                <w:color w:val="000000"/>
              </w:rPr>
              <w:t>5.4</w:t>
            </w:r>
          </w:p>
        </w:tc>
        <w:tc>
          <w:tcPr>
            <w:tcW w:w="1534" w:type="dxa"/>
            <w:vAlign w:val="bottom"/>
          </w:tcPr>
          <w:p w14:paraId="12D0D925" w14:textId="20090410" w:rsidR="00792AA0" w:rsidRPr="00956BBF" w:rsidRDefault="00792AA0" w:rsidP="003331FD">
            <w:pPr>
              <w:jc w:val="center"/>
            </w:pPr>
            <w:r w:rsidRPr="00956BBF">
              <w:rPr>
                <w:rFonts w:eastAsia="Times New Roman"/>
                <w:color w:val="000000"/>
              </w:rPr>
              <w:t>48</w:t>
            </w:r>
          </w:p>
        </w:tc>
        <w:tc>
          <w:tcPr>
            <w:tcW w:w="1530" w:type="dxa"/>
            <w:vAlign w:val="bottom"/>
          </w:tcPr>
          <w:p w14:paraId="71270DB2" w14:textId="47F34F15" w:rsidR="00792AA0" w:rsidRPr="00956BBF" w:rsidRDefault="00792AA0" w:rsidP="003331FD">
            <w:pPr>
              <w:jc w:val="center"/>
            </w:pPr>
            <w:r w:rsidRPr="00956BBF">
              <w:rPr>
                <w:rFonts w:eastAsia="Times New Roman"/>
                <w:color w:val="000000"/>
              </w:rPr>
              <w:t>23.</w:t>
            </w:r>
            <w:r w:rsidR="00BF1B00" w:rsidRPr="00956BBF">
              <w:rPr>
                <w:rFonts w:eastAsia="Times New Roman"/>
                <w:color w:val="000000"/>
              </w:rPr>
              <w:t>8</w:t>
            </w:r>
          </w:p>
        </w:tc>
        <w:tc>
          <w:tcPr>
            <w:tcW w:w="1524" w:type="dxa"/>
            <w:vAlign w:val="bottom"/>
          </w:tcPr>
          <w:p w14:paraId="02455AC8" w14:textId="2C6AC523" w:rsidR="00792AA0" w:rsidRPr="00956BBF" w:rsidRDefault="00792AA0" w:rsidP="003331FD">
            <w:pPr>
              <w:jc w:val="center"/>
            </w:pPr>
            <w:r w:rsidRPr="00956BBF">
              <w:rPr>
                <w:rFonts w:eastAsia="Times New Roman"/>
                <w:color w:val="000000"/>
              </w:rPr>
              <w:t>4.</w:t>
            </w:r>
            <w:r w:rsidR="00BF1B00" w:rsidRPr="00956BBF">
              <w:rPr>
                <w:rFonts w:eastAsia="Times New Roman"/>
                <w:color w:val="000000"/>
              </w:rPr>
              <w:t>8</w:t>
            </w:r>
          </w:p>
        </w:tc>
      </w:tr>
      <w:tr w:rsidR="00792AA0" w:rsidRPr="00956BBF" w14:paraId="4120441C" w14:textId="77777777" w:rsidTr="003331FD">
        <w:tc>
          <w:tcPr>
            <w:tcW w:w="1639" w:type="dxa"/>
            <w:vAlign w:val="bottom"/>
          </w:tcPr>
          <w:p w14:paraId="7076163B" w14:textId="1A57DA97" w:rsidR="00792AA0" w:rsidRPr="00956BBF" w:rsidRDefault="00792AA0" w:rsidP="003331FD">
            <w:pPr>
              <w:jc w:val="center"/>
            </w:pPr>
            <w:r w:rsidRPr="00956BBF">
              <w:rPr>
                <w:rFonts w:eastAsia="Times New Roman"/>
                <w:color w:val="000000"/>
              </w:rPr>
              <w:t>43</w:t>
            </w:r>
          </w:p>
        </w:tc>
        <w:tc>
          <w:tcPr>
            <w:tcW w:w="1530" w:type="dxa"/>
            <w:vAlign w:val="bottom"/>
          </w:tcPr>
          <w:p w14:paraId="7D3FCBD1" w14:textId="560666BE" w:rsidR="00792AA0" w:rsidRPr="00956BBF" w:rsidRDefault="00792AA0" w:rsidP="00BF1B00">
            <w:pPr>
              <w:jc w:val="center"/>
            </w:pPr>
            <w:r w:rsidRPr="00956BBF">
              <w:rPr>
                <w:rFonts w:eastAsia="Times New Roman"/>
                <w:color w:val="000000"/>
              </w:rPr>
              <w:t>26.5</w:t>
            </w:r>
          </w:p>
        </w:tc>
        <w:tc>
          <w:tcPr>
            <w:tcW w:w="1524" w:type="dxa"/>
            <w:vAlign w:val="bottom"/>
          </w:tcPr>
          <w:p w14:paraId="137B10D5" w14:textId="2EDA319F" w:rsidR="00792AA0" w:rsidRPr="00956BBF" w:rsidRDefault="00792AA0" w:rsidP="00BF1B00">
            <w:pPr>
              <w:jc w:val="center"/>
            </w:pPr>
            <w:r w:rsidRPr="00956BBF">
              <w:rPr>
                <w:rFonts w:eastAsia="Times New Roman"/>
                <w:color w:val="000000"/>
              </w:rPr>
              <w:t>5.3</w:t>
            </w:r>
          </w:p>
        </w:tc>
        <w:tc>
          <w:tcPr>
            <w:tcW w:w="1534" w:type="dxa"/>
            <w:vAlign w:val="bottom"/>
          </w:tcPr>
          <w:p w14:paraId="73417140" w14:textId="20C8D36D" w:rsidR="00792AA0" w:rsidRPr="00956BBF" w:rsidRDefault="00792AA0" w:rsidP="003331FD">
            <w:pPr>
              <w:jc w:val="center"/>
            </w:pPr>
            <w:r w:rsidRPr="00956BBF">
              <w:rPr>
                <w:rFonts w:eastAsia="Times New Roman"/>
                <w:color w:val="000000"/>
              </w:rPr>
              <w:t>49</w:t>
            </w:r>
          </w:p>
        </w:tc>
        <w:tc>
          <w:tcPr>
            <w:tcW w:w="1530" w:type="dxa"/>
            <w:vAlign w:val="bottom"/>
          </w:tcPr>
          <w:p w14:paraId="30A29518" w14:textId="3B49F606" w:rsidR="00792AA0" w:rsidRPr="00956BBF" w:rsidRDefault="00792AA0" w:rsidP="003331FD">
            <w:pPr>
              <w:jc w:val="center"/>
            </w:pPr>
            <w:r w:rsidRPr="00956BBF">
              <w:rPr>
                <w:rFonts w:eastAsia="Times New Roman"/>
                <w:color w:val="000000"/>
              </w:rPr>
              <w:t>23.</w:t>
            </w:r>
            <w:r w:rsidR="00BF1B00" w:rsidRPr="00956BBF">
              <w:rPr>
                <w:rFonts w:eastAsia="Times New Roman"/>
                <w:color w:val="000000"/>
              </w:rPr>
              <w:t>3</w:t>
            </w:r>
          </w:p>
        </w:tc>
        <w:tc>
          <w:tcPr>
            <w:tcW w:w="1524" w:type="dxa"/>
            <w:vAlign w:val="bottom"/>
          </w:tcPr>
          <w:p w14:paraId="683E8279" w14:textId="3C95E08B" w:rsidR="00792AA0" w:rsidRPr="00956BBF" w:rsidRDefault="00792AA0" w:rsidP="003331FD">
            <w:pPr>
              <w:jc w:val="center"/>
            </w:pPr>
            <w:r w:rsidRPr="00956BBF">
              <w:rPr>
                <w:rFonts w:eastAsia="Times New Roman"/>
                <w:color w:val="000000"/>
              </w:rPr>
              <w:t>4.</w:t>
            </w:r>
            <w:r w:rsidR="00BF1B00" w:rsidRPr="00956BBF">
              <w:rPr>
                <w:rFonts w:eastAsia="Times New Roman"/>
                <w:color w:val="000000"/>
              </w:rPr>
              <w:t>7</w:t>
            </w:r>
          </w:p>
        </w:tc>
      </w:tr>
      <w:tr w:rsidR="00792AA0" w:rsidRPr="00956BBF" w14:paraId="34E36F53" w14:textId="77777777" w:rsidTr="003331FD">
        <w:tc>
          <w:tcPr>
            <w:tcW w:w="1639" w:type="dxa"/>
            <w:vAlign w:val="bottom"/>
          </w:tcPr>
          <w:p w14:paraId="0DE1AC15" w14:textId="71605953" w:rsidR="00792AA0" w:rsidRPr="00956BBF" w:rsidRDefault="00792AA0" w:rsidP="003331FD">
            <w:pPr>
              <w:jc w:val="center"/>
            </w:pPr>
            <w:r w:rsidRPr="00956BBF">
              <w:rPr>
                <w:rFonts w:eastAsia="Times New Roman"/>
                <w:color w:val="000000"/>
              </w:rPr>
              <w:t>44</w:t>
            </w:r>
          </w:p>
        </w:tc>
        <w:tc>
          <w:tcPr>
            <w:tcW w:w="1530" w:type="dxa"/>
            <w:vAlign w:val="bottom"/>
          </w:tcPr>
          <w:p w14:paraId="2593672A" w14:textId="4EA06CDA" w:rsidR="00792AA0" w:rsidRPr="00956BBF" w:rsidRDefault="00792AA0" w:rsidP="00BF1B00">
            <w:pPr>
              <w:jc w:val="center"/>
            </w:pPr>
            <w:r w:rsidRPr="00956BBF">
              <w:rPr>
                <w:rFonts w:eastAsia="Times New Roman"/>
                <w:color w:val="000000"/>
              </w:rPr>
              <w:t>25.9</w:t>
            </w:r>
          </w:p>
        </w:tc>
        <w:tc>
          <w:tcPr>
            <w:tcW w:w="1524" w:type="dxa"/>
            <w:vAlign w:val="bottom"/>
          </w:tcPr>
          <w:p w14:paraId="22E97F51" w14:textId="13771C49" w:rsidR="00792AA0" w:rsidRPr="00956BBF" w:rsidRDefault="00792AA0" w:rsidP="00BF1B00">
            <w:pPr>
              <w:jc w:val="center"/>
            </w:pPr>
            <w:r w:rsidRPr="00956BBF">
              <w:rPr>
                <w:rFonts w:eastAsia="Times New Roman"/>
                <w:color w:val="000000"/>
              </w:rPr>
              <w:t>5.</w:t>
            </w:r>
            <w:r w:rsidR="00BF1B00" w:rsidRPr="00956BBF">
              <w:rPr>
                <w:rFonts w:eastAsia="Times New Roman"/>
                <w:color w:val="000000"/>
              </w:rPr>
              <w:t>2</w:t>
            </w:r>
          </w:p>
        </w:tc>
        <w:tc>
          <w:tcPr>
            <w:tcW w:w="1534" w:type="dxa"/>
            <w:vAlign w:val="bottom"/>
          </w:tcPr>
          <w:p w14:paraId="72C5FDB8" w14:textId="4FD71AD6" w:rsidR="00792AA0" w:rsidRPr="00956BBF" w:rsidRDefault="00792AA0" w:rsidP="003331FD">
            <w:pPr>
              <w:jc w:val="center"/>
            </w:pPr>
            <w:r w:rsidRPr="00956BBF">
              <w:rPr>
                <w:rFonts w:eastAsia="Times New Roman"/>
                <w:color w:val="000000"/>
              </w:rPr>
              <w:t>50</w:t>
            </w:r>
          </w:p>
        </w:tc>
        <w:tc>
          <w:tcPr>
            <w:tcW w:w="1530" w:type="dxa"/>
            <w:vAlign w:val="bottom"/>
          </w:tcPr>
          <w:p w14:paraId="30A37DFF" w14:textId="1F7009B7" w:rsidR="00792AA0" w:rsidRPr="00956BBF" w:rsidRDefault="00792AA0" w:rsidP="003331FD">
            <w:pPr>
              <w:jc w:val="center"/>
            </w:pPr>
            <w:r w:rsidRPr="00956BBF">
              <w:rPr>
                <w:rFonts w:eastAsia="Times New Roman"/>
                <w:color w:val="000000"/>
              </w:rPr>
              <w:t>22.8</w:t>
            </w:r>
          </w:p>
        </w:tc>
        <w:tc>
          <w:tcPr>
            <w:tcW w:w="1524" w:type="dxa"/>
            <w:vAlign w:val="bottom"/>
          </w:tcPr>
          <w:p w14:paraId="0B2566BF" w14:textId="3D555947" w:rsidR="00792AA0" w:rsidRPr="00956BBF" w:rsidRDefault="00792AA0" w:rsidP="003331FD">
            <w:pPr>
              <w:jc w:val="center"/>
            </w:pPr>
            <w:r w:rsidRPr="00956BBF">
              <w:rPr>
                <w:rFonts w:eastAsia="Times New Roman"/>
                <w:color w:val="000000"/>
              </w:rPr>
              <w:t>4.</w:t>
            </w:r>
            <w:r w:rsidR="00BF1B00" w:rsidRPr="00956BBF">
              <w:rPr>
                <w:rFonts w:eastAsia="Times New Roman"/>
                <w:color w:val="000000"/>
              </w:rPr>
              <w:t>6</w:t>
            </w:r>
          </w:p>
        </w:tc>
      </w:tr>
    </w:tbl>
    <w:p w14:paraId="14329700" w14:textId="77777777" w:rsidR="003331FD" w:rsidRPr="00956BBF" w:rsidRDefault="003331FD" w:rsidP="003331FD">
      <w:pPr>
        <w:rPr>
          <w:rFonts w:ascii="Arial" w:hAnsi="Arial" w:cs="Arial"/>
          <w:sz w:val="22"/>
          <w:szCs w:val="22"/>
        </w:rPr>
      </w:pPr>
    </w:p>
    <w:p w14:paraId="1EF16447" w14:textId="77777777" w:rsidR="00D21397" w:rsidRPr="00956BBF" w:rsidRDefault="00D21397" w:rsidP="00956BBF">
      <w:pPr>
        <w:spacing w:after="200" w:line="280" w:lineRule="atLeast"/>
        <w:jc w:val="both"/>
        <w:rPr>
          <w:rFonts w:ascii="Arial" w:hAnsi="Arial" w:cs="Arial"/>
          <w:b/>
          <w:sz w:val="22"/>
          <w:szCs w:val="22"/>
        </w:rPr>
      </w:pPr>
      <w:r w:rsidRPr="00956BBF">
        <w:rPr>
          <w:rFonts w:ascii="Arial" w:hAnsi="Arial" w:cs="Arial"/>
          <w:b/>
          <w:sz w:val="22"/>
          <w:szCs w:val="22"/>
        </w:rPr>
        <w:t>Identifying and managing key messages</w:t>
      </w:r>
    </w:p>
    <w:p w14:paraId="2DA0B4DC" w14:textId="58FB8726" w:rsidR="00BB389A" w:rsidRPr="00956BBF" w:rsidRDefault="00104B4B" w:rsidP="00956BBF">
      <w:pPr>
        <w:spacing w:after="200" w:line="280" w:lineRule="atLeast"/>
        <w:rPr>
          <w:rFonts w:ascii="Arial" w:hAnsi="Arial" w:cs="Arial"/>
          <w:sz w:val="22"/>
          <w:szCs w:val="22"/>
        </w:rPr>
      </w:pPr>
      <w:r w:rsidRPr="00956BBF">
        <w:rPr>
          <w:rFonts w:ascii="Arial" w:hAnsi="Arial" w:cs="Arial"/>
          <w:sz w:val="22"/>
          <w:szCs w:val="22"/>
        </w:rPr>
        <w:t xml:space="preserve">During the early implementation stages of any new programme there is nearly always a level of confusion amongst stakeholders.  </w:t>
      </w:r>
      <w:r w:rsidR="005B2E7E" w:rsidRPr="00956BBF">
        <w:rPr>
          <w:rFonts w:ascii="Arial" w:hAnsi="Arial" w:cs="Arial"/>
          <w:sz w:val="22"/>
          <w:szCs w:val="22"/>
        </w:rPr>
        <w:t xml:space="preserve">It is important </w:t>
      </w:r>
      <w:r w:rsidRPr="00956BBF">
        <w:rPr>
          <w:rFonts w:ascii="Arial" w:hAnsi="Arial" w:cs="Arial"/>
          <w:sz w:val="22"/>
          <w:szCs w:val="22"/>
        </w:rPr>
        <w:t xml:space="preserve">therefore </w:t>
      </w:r>
      <w:r w:rsidR="005B2E7E" w:rsidRPr="00956BBF">
        <w:rPr>
          <w:rFonts w:ascii="Arial" w:hAnsi="Arial" w:cs="Arial"/>
          <w:sz w:val="22"/>
          <w:szCs w:val="22"/>
        </w:rPr>
        <w:t xml:space="preserve">that </w:t>
      </w:r>
      <w:r w:rsidR="00D21397" w:rsidRPr="00956BBF">
        <w:rPr>
          <w:rFonts w:ascii="Arial" w:hAnsi="Arial" w:cs="Arial"/>
          <w:sz w:val="22"/>
          <w:szCs w:val="22"/>
        </w:rPr>
        <w:t>partnership</w:t>
      </w:r>
      <w:r w:rsidR="005B2E7E" w:rsidRPr="00956BBF">
        <w:rPr>
          <w:rFonts w:ascii="Arial" w:hAnsi="Arial" w:cs="Arial"/>
          <w:sz w:val="22"/>
          <w:szCs w:val="22"/>
        </w:rPr>
        <w:t xml:space="preserve">s </w:t>
      </w:r>
      <w:r w:rsidR="00D21397" w:rsidRPr="00956BBF">
        <w:rPr>
          <w:rFonts w:ascii="Arial" w:hAnsi="Arial" w:cs="Arial"/>
          <w:sz w:val="22"/>
          <w:szCs w:val="22"/>
        </w:rPr>
        <w:t xml:space="preserve">are clear about the messages they wish to convey to parents.  </w:t>
      </w:r>
      <w:r w:rsidR="00BB389A" w:rsidRPr="00956BBF">
        <w:rPr>
          <w:rFonts w:ascii="Arial" w:hAnsi="Arial" w:cs="Arial"/>
          <w:sz w:val="22"/>
          <w:szCs w:val="22"/>
        </w:rPr>
        <w:t>As part of partnership</w:t>
      </w:r>
      <w:r w:rsidR="001F1FCE">
        <w:rPr>
          <w:rFonts w:ascii="Arial" w:hAnsi="Arial" w:cs="Arial"/>
          <w:b/>
          <w:color w:val="0000FF"/>
          <w:sz w:val="22"/>
          <w:szCs w:val="22"/>
        </w:rPr>
        <w:t xml:space="preserve"> </w:t>
      </w:r>
      <w:hyperlink r:id="rId11" w:history="1">
        <w:r w:rsidR="001F1FCE" w:rsidRPr="00AC19BB">
          <w:rPr>
            <w:rStyle w:val="Hyperlink"/>
            <w:rFonts w:ascii="Arial" w:hAnsi="Arial" w:cs="Arial"/>
            <w:b/>
            <w:sz w:val="22"/>
            <w:szCs w:val="22"/>
          </w:rPr>
          <w:t>A</w:t>
        </w:r>
        <w:r w:rsidR="00B669B4" w:rsidRPr="00AC19BB">
          <w:rPr>
            <w:rStyle w:val="Hyperlink"/>
            <w:rFonts w:ascii="Arial" w:hAnsi="Arial" w:cs="Arial"/>
            <w:b/>
            <w:sz w:val="22"/>
            <w:szCs w:val="22"/>
          </w:rPr>
          <w:t>ction P</w:t>
        </w:r>
        <w:r w:rsidR="00BB389A" w:rsidRPr="00AC19BB">
          <w:rPr>
            <w:rStyle w:val="Hyperlink"/>
            <w:rFonts w:ascii="Arial" w:hAnsi="Arial" w:cs="Arial"/>
            <w:b/>
            <w:sz w:val="22"/>
            <w:szCs w:val="22"/>
          </w:rPr>
          <w:t>lanning</w:t>
        </w:r>
      </w:hyperlink>
      <w:r w:rsidR="00BB389A" w:rsidRPr="00956BBF">
        <w:rPr>
          <w:rFonts w:ascii="Arial" w:hAnsi="Arial" w:cs="Arial"/>
          <w:sz w:val="22"/>
          <w:szCs w:val="22"/>
        </w:rPr>
        <w:t>, i</w:t>
      </w:r>
      <w:r w:rsidRPr="00956BBF">
        <w:rPr>
          <w:rFonts w:ascii="Arial" w:hAnsi="Arial" w:cs="Arial"/>
          <w:sz w:val="22"/>
          <w:szCs w:val="22"/>
        </w:rPr>
        <w:t>t is suggested that the partnership spends time to identify the key messages pertinent to their partners</w:t>
      </w:r>
      <w:r w:rsidR="00BB389A" w:rsidRPr="00956BBF">
        <w:rPr>
          <w:rFonts w:ascii="Arial" w:hAnsi="Arial" w:cs="Arial"/>
          <w:sz w:val="22"/>
          <w:szCs w:val="22"/>
        </w:rPr>
        <w:t>h</w:t>
      </w:r>
      <w:r w:rsidRPr="00956BBF">
        <w:rPr>
          <w:rFonts w:ascii="Arial" w:hAnsi="Arial" w:cs="Arial"/>
          <w:sz w:val="22"/>
          <w:szCs w:val="22"/>
        </w:rPr>
        <w:t xml:space="preserve">ip and consider </w:t>
      </w:r>
      <w:r w:rsidR="00BB389A" w:rsidRPr="00956BBF">
        <w:rPr>
          <w:rFonts w:ascii="Arial" w:hAnsi="Arial" w:cs="Arial"/>
          <w:sz w:val="22"/>
          <w:szCs w:val="22"/>
        </w:rPr>
        <w:t>who these messages need to be share</w:t>
      </w:r>
      <w:r w:rsidR="004A0B88" w:rsidRPr="00956BBF">
        <w:rPr>
          <w:rFonts w:ascii="Arial" w:hAnsi="Arial" w:cs="Arial"/>
          <w:sz w:val="22"/>
          <w:szCs w:val="22"/>
        </w:rPr>
        <w:t>d with and how they will do this</w:t>
      </w:r>
      <w:r w:rsidR="00BB389A" w:rsidRPr="00956BBF">
        <w:rPr>
          <w:rFonts w:ascii="Arial" w:hAnsi="Arial" w:cs="Arial"/>
          <w:sz w:val="22"/>
          <w:szCs w:val="22"/>
        </w:rPr>
        <w:t>.</w:t>
      </w:r>
      <w:r w:rsidR="00521D9A" w:rsidRPr="00956BBF">
        <w:rPr>
          <w:rFonts w:ascii="Arial" w:hAnsi="Arial" w:cs="Arial"/>
          <w:sz w:val="22"/>
          <w:szCs w:val="22"/>
        </w:rPr>
        <w:t xml:space="preserve">  This will have the added benefit of ensuring that partners are also ‘on message.’  Where possible messages should be written down to ensure consistency.</w:t>
      </w:r>
    </w:p>
    <w:p w14:paraId="49597563" w14:textId="77777777" w:rsidR="00327D1F" w:rsidRDefault="00327D1F">
      <w:pPr>
        <w:rPr>
          <w:rFonts w:ascii="Arial" w:hAnsi="Arial" w:cs="Arial"/>
          <w:i/>
          <w:sz w:val="22"/>
          <w:szCs w:val="22"/>
        </w:rPr>
      </w:pPr>
      <w:r>
        <w:rPr>
          <w:rFonts w:ascii="Arial" w:hAnsi="Arial" w:cs="Arial"/>
          <w:i/>
          <w:sz w:val="22"/>
          <w:szCs w:val="22"/>
        </w:rPr>
        <w:br w:type="page"/>
      </w:r>
    </w:p>
    <w:p w14:paraId="1BF064E5" w14:textId="3F60C037" w:rsidR="00A5688E" w:rsidRPr="00956BBF" w:rsidRDefault="00A5688E" w:rsidP="00327D1F">
      <w:pPr>
        <w:spacing w:after="120" w:line="280" w:lineRule="atLeast"/>
        <w:rPr>
          <w:rFonts w:ascii="Arial" w:hAnsi="Arial" w:cs="Arial"/>
          <w:i/>
          <w:sz w:val="22"/>
          <w:szCs w:val="22"/>
        </w:rPr>
      </w:pPr>
      <w:r w:rsidRPr="00956BBF">
        <w:rPr>
          <w:rFonts w:ascii="Arial" w:hAnsi="Arial" w:cs="Arial"/>
          <w:i/>
          <w:sz w:val="22"/>
          <w:szCs w:val="22"/>
        </w:rPr>
        <w:lastRenderedPageBreak/>
        <w:t>Entitlement and eligibility messages might include:</w:t>
      </w:r>
    </w:p>
    <w:p w14:paraId="705B688D" w14:textId="76C91639" w:rsidR="00A5688E" w:rsidRPr="00956BBF" w:rsidRDefault="00956BBF" w:rsidP="00BA3A2F">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How eligibility can be checked</w:t>
      </w:r>
    </w:p>
    <w:p w14:paraId="7DC6CE5F" w14:textId="77777777" w:rsidR="00A5688E" w:rsidRPr="00956BBF" w:rsidRDefault="00A5688E" w:rsidP="00BA3A2F">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Who is eligible?</w:t>
      </w:r>
    </w:p>
    <w:p w14:paraId="143F15A0" w14:textId="4699250A" w:rsidR="009E0D73" w:rsidRPr="00956BBF" w:rsidRDefault="009E0D73" w:rsidP="00BA3A2F">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 xml:space="preserve">Clear guidance on how to apply – this should include any national </w:t>
      </w:r>
      <w:r w:rsidR="00956BBF" w:rsidRPr="00956BBF">
        <w:rPr>
          <w:rFonts w:ascii="Arial" w:hAnsi="Arial" w:cs="Arial"/>
          <w:sz w:val="22"/>
          <w:szCs w:val="22"/>
        </w:rPr>
        <w:t>(DfE) as well as local guidance</w:t>
      </w:r>
    </w:p>
    <w:p w14:paraId="4EE81B1B" w14:textId="3C33D897" w:rsidR="00A5688E" w:rsidRPr="00956BBF" w:rsidRDefault="00350FD2" w:rsidP="00BA3A2F">
      <w:pPr>
        <w:pStyle w:val="ListBullet"/>
        <w:numPr>
          <w:ilvl w:val="0"/>
          <w:numId w:val="18"/>
        </w:numPr>
        <w:spacing w:after="60" w:line="280" w:lineRule="atLeast"/>
        <w:rPr>
          <w:rFonts w:ascii="Arial" w:hAnsi="Arial" w:cs="Arial"/>
          <w:sz w:val="22"/>
          <w:szCs w:val="22"/>
        </w:rPr>
      </w:pPr>
      <w:r w:rsidRPr="00956BBF">
        <w:rPr>
          <w:rFonts w:ascii="Arial" w:hAnsi="Arial" w:cs="Arial"/>
          <w:sz w:val="22"/>
          <w:szCs w:val="22"/>
        </w:rPr>
        <w:t xml:space="preserve">Any support or advice </w:t>
      </w:r>
      <w:r w:rsidR="00A5688E" w:rsidRPr="00956BBF">
        <w:rPr>
          <w:rFonts w:ascii="Arial" w:hAnsi="Arial" w:cs="Arial"/>
          <w:sz w:val="22"/>
          <w:szCs w:val="22"/>
        </w:rPr>
        <w:t>available to ineligible parents</w:t>
      </w:r>
      <w:r w:rsidR="009E0D73" w:rsidRPr="00956BBF">
        <w:rPr>
          <w:rFonts w:ascii="Arial" w:hAnsi="Arial" w:cs="Arial"/>
          <w:sz w:val="22"/>
          <w:szCs w:val="22"/>
        </w:rPr>
        <w:t xml:space="preserve"> including where parents can </w:t>
      </w:r>
      <w:r w:rsidR="000A6AE6">
        <w:rPr>
          <w:rFonts w:ascii="Arial" w:hAnsi="Arial" w:cs="Arial"/>
          <w:sz w:val="22"/>
          <w:szCs w:val="22"/>
        </w:rPr>
        <w:t xml:space="preserve">get </w:t>
      </w:r>
      <w:hyperlink r:id="rId12" w:history="1">
        <w:r w:rsidR="001F1FCE" w:rsidRPr="00AC19BB">
          <w:rPr>
            <w:rStyle w:val="Hyperlink"/>
            <w:rFonts w:ascii="Arial" w:hAnsi="Arial" w:cs="Arial"/>
            <w:b/>
            <w:sz w:val="22"/>
            <w:szCs w:val="22"/>
          </w:rPr>
          <w:t>H</w:t>
        </w:r>
        <w:r w:rsidR="00B669B4" w:rsidRPr="00AC19BB">
          <w:rPr>
            <w:rStyle w:val="Hyperlink"/>
            <w:rFonts w:ascii="Arial" w:hAnsi="Arial" w:cs="Arial"/>
            <w:b/>
            <w:sz w:val="22"/>
            <w:szCs w:val="22"/>
          </w:rPr>
          <w:t>elp with Childcare C</w:t>
        </w:r>
        <w:r w:rsidR="009E0D73" w:rsidRPr="00AC19BB">
          <w:rPr>
            <w:rStyle w:val="Hyperlink"/>
            <w:rFonts w:ascii="Arial" w:hAnsi="Arial" w:cs="Arial"/>
            <w:b/>
            <w:sz w:val="22"/>
            <w:szCs w:val="22"/>
          </w:rPr>
          <w:t>osts</w:t>
        </w:r>
      </w:hyperlink>
    </w:p>
    <w:p w14:paraId="51B3E4CF" w14:textId="7538E67E" w:rsidR="00350FD2" w:rsidRPr="00956BBF" w:rsidRDefault="00350FD2" w:rsidP="00BA3A2F">
      <w:pPr>
        <w:pStyle w:val="ListBullet"/>
        <w:numPr>
          <w:ilvl w:val="0"/>
          <w:numId w:val="18"/>
        </w:numPr>
        <w:spacing w:after="60" w:line="280" w:lineRule="atLeast"/>
        <w:rPr>
          <w:rFonts w:ascii="Arial" w:hAnsi="Arial" w:cs="Arial"/>
          <w:sz w:val="22"/>
          <w:szCs w:val="22"/>
        </w:rPr>
      </w:pPr>
      <w:r w:rsidRPr="00956BBF">
        <w:rPr>
          <w:rFonts w:ascii="Arial" w:hAnsi="Arial" w:cs="Arial"/>
          <w:sz w:val="22"/>
          <w:szCs w:val="22"/>
        </w:rPr>
        <w:t>Reassurance that the existing entitlement for three and fou</w:t>
      </w:r>
      <w:r w:rsidR="00956BBF" w:rsidRPr="00956BBF">
        <w:rPr>
          <w:rFonts w:ascii="Arial" w:hAnsi="Arial" w:cs="Arial"/>
          <w:sz w:val="22"/>
          <w:szCs w:val="22"/>
        </w:rPr>
        <w:t>r year olds will no</w:t>
      </w:r>
      <w:r w:rsidR="003161B7">
        <w:rPr>
          <w:rFonts w:ascii="Arial" w:hAnsi="Arial" w:cs="Arial"/>
          <w:sz w:val="22"/>
          <w:szCs w:val="22"/>
        </w:rPr>
        <w:t>t</w:t>
      </w:r>
      <w:r w:rsidR="00956BBF" w:rsidRPr="00956BBF">
        <w:rPr>
          <w:rFonts w:ascii="Arial" w:hAnsi="Arial" w:cs="Arial"/>
          <w:sz w:val="22"/>
          <w:szCs w:val="22"/>
        </w:rPr>
        <w:t xml:space="preserve"> be affected</w:t>
      </w:r>
    </w:p>
    <w:p w14:paraId="58F49443" w14:textId="2C08EDC0" w:rsidR="00201521" w:rsidRPr="00956BBF" w:rsidRDefault="00D21397" w:rsidP="00327D1F">
      <w:pPr>
        <w:spacing w:after="120" w:line="280" w:lineRule="atLeast"/>
        <w:rPr>
          <w:rFonts w:ascii="Arial" w:hAnsi="Arial" w:cs="Arial"/>
          <w:i/>
          <w:sz w:val="22"/>
          <w:szCs w:val="22"/>
        </w:rPr>
      </w:pPr>
      <w:r w:rsidRPr="00956BBF">
        <w:rPr>
          <w:rFonts w:ascii="Arial" w:hAnsi="Arial" w:cs="Arial"/>
          <w:i/>
          <w:sz w:val="22"/>
          <w:szCs w:val="22"/>
        </w:rPr>
        <w:t>Different delivery model</w:t>
      </w:r>
      <w:r w:rsidR="00BA09E3" w:rsidRPr="00956BBF">
        <w:rPr>
          <w:rFonts w:ascii="Arial" w:hAnsi="Arial" w:cs="Arial"/>
          <w:i/>
          <w:sz w:val="22"/>
          <w:szCs w:val="22"/>
        </w:rPr>
        <w:t xml:space="preserve"> </w:t>
      </w:r>
      <w:r w:rsidR="004A0B88" w:rsidRPr="00956BBF">
        <w:rPr>
          <w:rFonts w:ascii="Arial" w:hAnsi="Arial" w:cs="Arial"/>
          <w:i/>
          <w:sz w:val="22"/>
          <w:szCs w:val="22"/>
        </w:rPr>
        <w:t>messages might include</w:t>
      </w:r>
      <w:r w:rsidR="000A6AE6">
        <w:rPr>
          <w:rFonts w:ascii="Arial" w:hAnsi="Arial" w:cs="Arial"/>
          <w:i/>
          <w:sz w:val="22"/>
          <w:szCs w:val="22"/>
        </w:rPr>
        <w:t>:</w:t>
      </w:r>
      <w:r w:rsidR="004A0B88" w:rsidRPr="00956BBF">
        <w:rPr>
          <w:rFonts w:ascii="Arial" w:hAnsi="Arial" w:cs="Arial"/>
          <w:i/>
          <w:sz w:val="22"/>
          <w:szCs w:val="22"/>
        </w:rPr>
        <w:t xml:space="preserve"> </w:t>
      </w:r>
    </w:p>
    <w:p w14:paraId="209C3F80" w14:textId="21DE52B1" w:rsidR="00350FD2" w:rsidRPr="00956BBF" w:rsidRDefault="00350FD2"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 xml:space="preserve">A summary of </w:t>
      </w:r>
      <w:r w:rsidR="00956BBF" w:rsidRPr="00956BBF">
        <w:rPr>
          <w:rFonts w:ascii="Arial" w:hAnsi="Arial" w:cs="Arial"/>
          <w:sz w:val="22"/>
          <w:szCs w:val="22"/>
        </w:rPr>
        <w:t>each model and how it will work</w:t>
      </w:r>
    </w:p>
    <w:p w14:paraId="39E8A3E9" w14:textId="31274137" w:rsidR="00201521" w:rsidRPr="00956BBF" w:rsidRDefault="00350FD2"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T</w:t>
      </w:r>
      <w:r w:rsidR="00D21397" w:rsidRPr="00956BBF">
        <w:rPr>
          <w:rFonts w:ascii="Arial" w:hAnsi="Arial" w:cs="Arial"/>
          <w:sz w:val="22"/>
          <w:szCs w:val="22"/>
        </w:rPr>
        <w:t>he benefits to children and families for example of children spending time in different settings</w:t>
      </w:r>
    </w:p>
    <w:p w14:paraId="2CE4E5C1" w14:textId="5091FEFF" w:rsidR="00201521" w:rsidRPr="00956BBF" w:rsidRDefault="00BA09E3"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Outlining</w:t>
      </w:r>
      <w:r w:rsidR="00201521" w:rsidRPr="00956BBF">
        <w:rPr>
          <w:rFonts w:ascii="Arial" w:hAnsi="Arial" w:cs="Arial"/>
          <w:sz w:val="22"/>
          <w:szCs w:val="22"/>
        </w:rPr>
        <w:t xml:space="preserve"> how </w:t>
      </w:r>
      <w:r w:rsidR="00D21397" w:rsidRPr="00956BBF">
        <w:rPr>
          <w:rFonts w:ascii="Arial" w:hAnsi="Arial" w:cs="Arial"/>
          <w:sz w:val="22"/>
          <w:szCs w:val="22"/>
        </w:rPr>
        <w:t>a child benefit</w:t>
      </w:r>
      <w:r w:rsidR="00D1762E">
        <w:rPr>
          <w:rFonts w:ascii="Arial" w:hAnsi="Arial" w:cs="Arial"/>
          <w:sz w:val="22"/>
          <w:szCs w:val="22"/>
        </w:rPr>
        <w:t>s</w:t>
      </w:r>
      <w:r w:rsidR="00D21397" w:rsidRPr="00956BBF">
        <w:rPr>
          <w:rFonts w:ascii="Arial" w:hAnsi="Arial" w:cs="Arial"/>
          <w:sz w:val="22"/>
          <w:szCs w:val="22"/>
        </w:rPr>
        <w:t xml:space="preserve"> from the different learning environments provided by a childminder compared to a group setting</w:t>
      </w:r>
    </w:p>
    <w:p w14:paraId="644EFB39" w14:textId="1003288B" w:rsidR="00D21397" w:rsidRPr="00956BBF" w:rsidRDefault="00BA09E3"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Explaining to parents h</w:t>
      </w:r>
      <w:r w:rsidR="004A0B88" w:rsidRPr="00956BBF">
        <w:rPr>
          <w:rFonts w:ascii="Arial" w:hAnsi="Arial" w:cs="Arial"/>
          <w:sz w:val="22"/>
          <w:szCs w:val="22"/>
        </w:rPr>
        <w:t xml:space="preserve">ow communication between </w:t>
      </w:r>
      <w:r w:rsidRPr="00956BBF">
        <w:rPr>
          <w:rFonts w:ascii="Arial" w:hAnsi="Arial" w:cs="Arial"/>
          <w:sz w:val="22"/>
          <w:szCs w:val="22"/>
        </w:rPr>
        <w:t>providers</w:t>
      </w:r>
      <w:r w:rsidR="004A0B88" w:rsidRPr="00956BBF">
        <w:rPr>
          <w:rFonts w:ascii="Arial" w:hAnsi="Arial" w:cs="Arial"/>
          <w:sz w:val="22"/>
          <w:szCs w:val="22"/>
        </w:rPr>
        <w:t xml:space="preserve"> and wit</w:t>
      </w:r>
      <w:r w:rsidR="00956BBF" w:rsidRPr="00956BBF">
        <w:rPr>
          <w:rFonts w:ascii="Arial" w:hAnsi="Arial" w:cs="Arial"/>
          <w:sz w:val="22"/>
          <w:szCs w:val="22"/>
        </w:rPr>
        <w:t>h parents will be managed</w:t>
      </w:r>
    </w:p>
    <w:p w14:paraId="61E6696D" w14:textId="5CF60B10" w:rsidR="00117B78" w:rsidRPr="00956BBF" w:rsidRDefault="00956BBF"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How settling in will work</w:t>
      </w:r>
    </w:p>
    <w:p w14:paraId="39C4B978" w14:textId="154E507D" w:rsidR="00524D76" w:rsidRPr="00956BBF" w:rsidRDefault="00524D76"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Whether there will be any changes to how parents can support the del</w:t>
      </w:r>
      <w:r w:rsidR="00956BBF" w:rsidRPr="00956BBF">
        <w:rPr>
          <w:rFonts w:ascii="Arial" w:hAnsi="Arial" w:cs="Arial"/>
          <w:sz w:val="22"/>
          <w:szCs w:val="22"/>
        </w:rPr>
        <w:t>ivery of the EYFS curriculum</w:t>
      </w:r>
    </w:p>
    <w:p w14:paraId="18951BC2" w14:textId="2D383F70" w:rsidR="00D00280" w:rsidRPr="00956BBF" w:rsidRDefault="00117B78"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How parents are exp</w:t>
      </w:r>
      <w:r w:rsidR="00D00280" w:rsidRPr="00956BBF">
        <w:rPr>
          <w:rFonts w:ascii="Arial" w:hAnsi="Arial" w:cs="Arial"/>
          <w:sz w:val="22"/>
          <w:szCs w:val="22"/>
        </w:rPr>
        <w:t>ected to report absences –</w:t>
      </w:r>
      <w:r w:rsidRPr="00956BBF">
        <w:rPr>
          <w:rFonts w:ascii="Arial" w:hAnsi="Arial" w:cs="Arial"/>
          <w:sz w:val="22"/>
          <w:szCs w:val="22"/>
        </w:rPr>
        <w:t xml:space="preserve"> </w:t>
      </w:r>
      <w:r w:rsidR="00D00280" w:rsidRPr="00956BBF">
        <w:rPr>
          <w:rFonts w:ascii="Arial" w:hAnsi="Arial" w:cs="Arial"/>
          <w:sz w:val="22"/>
          <w:szCs w:val="22"/>
        </w:rPr>
        <w:t>will she/he have to ring each provider separately or will there be a single point of contact?</w:t>
      </w:r>
    </w:p>
    <w:p w14:paraId="75E02A37" w14:textId="77777777" w:rsidR="00D61C07" w:rsidRPr="00956BBF" w:rsidRDefault="00D61C07">
      <w:pPr>
        <w:rPr>
          <w:rFonts w:ascii="Arial" w:hAnsi="Arial" w:cs="Arial"/>
          <w:sz w:val="22"/>
          <w:szCs w:val="22"/>
        </w:rPr>
      </w:pPr>
    </w:p>
    <w:p w14:paraId="7E35F5B8" w14:textId="6D95B0DE" w:rsidR="00D61C07" w:rsidRPr="00956BBF" w:rsidRDefault="00D61C07" w:rsidP="00327D1F">
      <w:pPr>
        <w:spacing w:after="120" w:line="280" w:lineRule="atLeast"/>
        <w:rPr>
          <w:rFonts w:ascii="Arial" w:hAnsi="Arial" w:cs="Arial"/>
          <w:sz w:val="22"/>
          <w:szCs w:val="22"/>
        </w:rPr>
      </w:pPr>
      <w:r w:rsidRPr="00956BBF">
        <w:rPr>
          <w:rFonts w:ascii="Arial" w:hAnsi="Arial" w:cs="Arial"/>
          <w:i/>
          <w:sz w:val="22"/>
          <w:szCs w:val="22"/>
        </w:rPr>
        <w:t>Paying for top up</w:t>
      </w:r>
      <w:r w:rsidR="00521D9A" w:rsidRPr="00956BBF">
        <w:rPr>
          <w:rFonts w:ascii="Arial" w:hAnsi="Arial" w:cs="Arial"/>
          <w:sz w:val="22"/>
          <w:szCs w:val="22"/>
        </w:rPr>
        <w:t xml:space="preserve"> </w:t>
      </w:r>
      <w:r w:rsidR="00521D9A" w:rsidRPr="00956BBF">
        <w:rPr>
          <w:rFonts w:ascii="Arial" w:hAnsi="Arial" w:cs="Arial"/>
          <w:i/>
          <w:sz w:val="22"/>
          <w:szCs w:val="22"/>
        </w:rPr>
        <w:t>messages might include</w:t>
      </w:r>
      <w:r w:rsidR="000A6AE6">
        <w:rPr>
          <w:rFonts w:ascii="Arial" w:hAnsi="Arial" w:cs="Arial"/>
          <w:i/>
          <w:sz w:val="22"/>
          <w:szCs w:val="22"/>
        </w:rPr>
        <w:t>:</w:t>
      </w:r>
    </w:p>
    <w:p w14:paraId="772093D1" w14:textId="3A54DC4A" w:rsidR="00D61C07" w:rsidRPr="00956BBF" w:rsidRDefault="00F12794"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 xml:space="preserve">What are the options for paying for additional hours – not all providers </w:t>
      </w:r>
      <w:r w:rsidR="00404ABB" w:rsidRPr="00956BBF">
        <w:rPr>
          <w:rFonts w:ascii="Arial" w:hAnsi="Arial" w:cs="Arial"/>
          <w:sz w:val="22"/>
          <w:szCs w:val="22"/>
        </w:rPr>
        <w:t xml:space="preserve">will </w:t>
      </w:r>
      <w:r w:rsidRPr="00956BBF">
        <w:rPr>
          <w:rFonts w:ascii="Arial" w:hAnsi="Arial" w:cs="Arial"/>
          <w:sz w:val="22"/>
          <w:szCs w:val="22"/>
        </w:rPr>
        <w:t>offer this</w:t>
      </w:r>
      <w:r w:rsidR="00404ABB" w:rsidRPr="00956BBF">
        <w:rPr>
          <w:rFonts w:ascii="Arial" w:hAnsi="Arial" w:cs="Arial"/>
          <w:sz w:val="22"/>
          <w:szCs w:val="22"/>
        </w:rPr>
        <w:t xml:space="preserve"> so parents need to know who to approach i</w:t>
      </w:r>
      <w:r w:rsidR="00956BBF" w:rsidRPr="00956BBF">
        <w:rPr>
          <w:rFonts w:ascii="Arial" w:hAnsi="Arial" w:cs="Arial"/>
          <w:sz w:val="22"/>
          <w:szCs w:val="22"/>
        </w:rPr>
        <w:t>f they want to pay for a top up</w:t>
      </w:r>
    </w:p>
    <w:p w14:paraId="31C15FA6" w14:textId="27E67E3E" w:rsidR="00E57A3E" w:rsidRPr="00956BBF" w:rsidRDefault="00E57A3E"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 xml:space="preserve">How parents will be charged for top up fees.  For example whether parents </w:t>
      </w:r>
      <w:r w:rsidR="00521384" w:rsidRPr="00956BBF">
        <w:rPr>
          <w:rFonts w:ascii="Arial" w:hAnsi="Arial" w:cs="Arial"/>
          <w:sz w:val="22"/>
          <w:szCs w:val="22"/>
        </w:rPr>
        <w:t xml:space="preserve">will receive their </w:t>
      </w:r>
      <w:r w:rsidRPr="00956BBF">
        <w:rPr>
          <w:rFonts w:ascii="Arial" w:hAnsi="Arial" w:cs="Arial"/>
          <w:sz w:val="22"/>
          <w:szCs w:val="22"/>
        </w:rPr>
        <w:t xml:space="preserve">1,140 </w:t>
      </w:r>
      <w:r w:rsidR="00521384" w:rsidRPr="00956BBF">
        <w:rPr>
          <w:rFonts w:ascii="Arial" w:hAnsi="Arial" w:cs="Arial"/>
          <w:sz w:val="22"/>
          <w:szCs w:val="22"/>
        </w:rPr>
        <w:t xml:space="preserve">free entitlement </w:t>
      </w:r>
      <w:r w:rsidRPr="00956BBF">
        <w:rPr>
          <w:rFonts w:ascii="Arial" w:hAnsi="Arial" w:cs="Arial"/>
          <w:sz w:val="22"/>
          <w:szCs w:val="22"/>
        </w:rPr>
        <w:t>hours and then be charged top up fees or w</w:t>
      </w:r>
      <w:r w:rsidR="00521384" w:rsidRPr="00956BBF">
        <w:rPr>
          <w:rFonts w:ascii="Arial" w:hAnsi="Arial" w:cs="Arial"/>
          <w:sz w:val="22"/>
          <w:szCs w:val="22"/>
        </w:rPr>
        <w:t xml:space="preserve">hether they can </w:t>
      </w:r>
      <w:r w:rsidR="00956BBF" w:rsidRPr="00956BBF">
        <w:rPr>
          <w:rFonts w:ascii="Arial" w:hAnsi="Arial" w:cs="Arial"/>
          <w:sz w:val="22"/>
          <w:szCs w:val="22"/>
        </w:rPr>
        <w:t>spread the cost across the year</w:t>
      </w:r>
    </w:p>
    <w:p w14:paraId="2D1CC880" w14:textId="4C0299C8" w:rsidR="00A27BC2" w:rsidRPr="00956BBF" w:rsidRDefault="00404ABB" w:rsidP="00DD2392">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Whether there will be any additional costs</w:t>
      </w:r>
      <w:r w:rsidR="007C134E" w:rsidRPr="00956BBF">
        <w:rPr>
          <w:rFonts w:ascii="Arial" w:hAnsi="Arial" w:cs="Arial"/>
          <w:sz w:val="22"/>
          <w:szCs w:val="22"/>
        </w:rPr>
        <w:t xml:space="preserve"> and what these are for</w:t>
      </w:r>
      <w:r w:rsidRPr="00956BBF">
        <w:rPr>
          <w:rFonts w:ascii="Arial" w:hAnsi="Arial" w:cs="Arial"/>
          <w:sz w:val="22"/>
          <w:szCs w:val="22"/>
        </w:rPr>
        <w:t>.  For example</w:t>
      </w:r>
      <w:r w:rsidR="00A27BC2" w:rsidRPr="00956BBF">
        <w:rPr>
          <w:rFonts w:ascii="Arial" w:hAnsi="Arial" w:cs="Arial"/>
          <w:sz w:val="22"/>
          <w:szCs w:val="22"/>
        </w:rPr>
        <w:t>:</w:t>
      </w:r>
    </w:p>
    <w:p w14:paraId="01604AF7" w14:textId="64264B57" w:rsidR="00A27BC2" w:rsidRPr="00956BBF" w:rsidRDefault="00A27BC2" w:rsidP="00DD2392">
      <w:pPr>
        <w:pStyle w:val="ListBullet"/>
        <w:numPr>
          <w:ilvl w:val="2"/>
          <w:numId w:val="21"/>
        </w:numPr>
        <w:spacing w:after="60" w:line="280" w:lineRule="atLeast"/>
        <w:rPr>
          <w:rFonts w:ascii="Arial" w:hAnsi="Arial" w:cs="Arial"/>
          <w:sz w:val="22"/>
          <w:szCs w:val="22"/>
        </w:rPr>
      </w:pPr>
      <w:r w:rsidRPr="00956BBF">
        <w:rPr>
          <w:rFonts w:ascii="Arial" w:hAnsi="Arial" w:cs="Arial"/>
          <w:sz w:val="22"/>
          <w:szCs w:val="22"/>
        </w:rPr>
        <w:t>If the child is taking part in o</w:t>
      </w:r>
      <w:r w:rsidR="00404ABB" w:rsidRPr="00956BBF">
        <w:rPr>
          <w:rFonts w:ascii="Arial" w:hAnsi="Arial" w:cs="Arial"/>
          <w:sz w:val="22"/>
          <w:szCs w:val="22"/>
        </w:rPr>
        <w:t>utdoor learning</w:t>
      </w:r>
      <w:r w:rsidRPr="00956BBF">
        <w:rPr>
          <w:rFonts w:ascii="Arial" w:hAnsi="Arial" w:cs="Arial"/>
          <w:sz w:val="22"/>
          <w:szCs w:val="22"/>
        </w:rPr>
        <w:t>, explain what ‘</w:t>
      </w:r>
      <w:r w:rsidR="00404ABB" w:rsidRPr="00956BBF">
        <w:rPr>
          <w:rFonts w:ascii="Arial" w:hAnsi="Arial" w:cs="Arial"/>
          <w:sz w:val="22"/>
          <w:szCs w:val="22"/>
        </w:rPr>
        <w:t>outdoor kit</w:t>
      </w:r>
      <w:r w:rsidRPr="00956BBF">
        <w:rPr>
          <w:rFonts w:ascii="Arial" w:hAnsi="Arial" w:cs="Arial"/>
          <w:sz w:val="22"/>
          <w:szCs w:val="22"/>
        </w:rPr>
        <w:t>’</w:t>
      </w:r>
      <w:r w:rsidR="00404ABB" w:rsidRPr="00956BBF">
        <w:rPr>
          <w:rFonts w:ascii="Arial" w:hAnsi="Arial" w:cs="Arial"/>
          <w:sz w:val="22"/>
          <w:szCs w:val="22"/>
        </w:rPr>
        <w:t xml:space="preserve"> </w:t>
      </w:r>
      <w:r w:rsidRPr="00956BBF">
        <w:rPr>
          <w:rFonts w:ascii="Arial" w:hAnsi="Arial" w:cs="Arial"/>
          <w:sz w:val="22"/>
          <w:szCs w:val="22"/>
        </w:rPr>
        <w:t>they will need</w:t>
      </w:r>
      <w:r w:rsidR="00404ABB" w:rsidRPr="00956BBF">
        <w:rPr>
          <w:rFonts w:ascii="Arial" w:hAnsi="Arial" w:cs="Arial"/>
          <w:sz w:val="22"/>
          <w:szCs w:val="22"/>
        </w:rPr>
        <w:t xml:space="preserve">.  Some </w:t>
      </w:r>
      <w:r w:rsidRPr="00956BBF">
        <w:rPr>
          <w:rFonts w:ascii="Arial" w:hAnsi="Arial" w:cs="Arial"/>
          <w:sz w:val="22"/>
          <w:szCs w:val="22"/>
        </w:rPr>
        <w:t xml:space="preserve">outdoor learning </w:t>
      </w:r>
      <w:r w:rsidR="00404ABB" w:rsidRPr="00956BBF">
        <w:rPr>
          <w:rFonts w:ascii="Arial" w:hAnsi="Arial" w:cs="Arial"/>
          <w:sz w:val="22"/>
          <w:szCs w:val="22"/>
        </w:rPr>
        <w:t xml:space="preserve">providers charge an ‘enrolment fee’ to cover the costs of </w:t>
      </w:r>
      <w:r w:rsidRPr="00956BBF">
        <w:rPr>
          <w:rFonts w:ascii="Arial" w:hAnsi="Arial" w:cs="Arial"/>
          <w:sz w:val="22"/>
          <w:szCs w:val="22"/>
        </w:rPr>
        <w:t>some of this kit.</w:t>
      </w:r>
    </w:p>
    <w:p w14:paraId="0DDC649D" w14:textId="22AF37DA" w:rsidR="00404ABB" w:rsidRPr="00956BBF" w:rsidRDefault="00C13CE0" w:rsidP="00DD2392">
      <w:pPr>
        <w:pStyle w:val="ListBullet"/>
        <w:numPr>
          <w:ilvl w:val="2"/>
          <w:numId w:val="21"/>
        </w:numPr>
        <w:spacing w:after="60" w:line="280" w:lineRule="atLeast"/>
        <w:rPr>
          <w:rFonts w:ascii="Arial" w:hAnsi="Arial" w:cs="Arial"/>
          <w:sz w:val="22"/>
          <w:szCs w:val="22"/>
        </w:rPr>
      </w:pPr>
      <w:r w:rsidRPr="00956BBF">
        <w:rPr>
          <w:rFonts w:ascii="Arial" w:hAnsi="Arial" w:cs="Arial"/>
          <w:sz w:val="22"/>
          <w:szCs w:val="22"/>
        </w:rPr>
        <w:t>What will be provided by way of food and snacks and whether parents are expected to provide this, whether the provider will provide this and whether there is a cost attached and whether parents have a choice regarding who provides/pays for food an</w:t>
      </w:r>
      <w:r w:rsidR="00956BBF" w:rsidRPr="00956BBF">
        <w:rPr>
          <w:rFonts w:ascii="Arial" w:hAnsi="Arial" w:cs="Arial"/>
          <w:sz w:val="22"/>
          <w:szCs w:val="22"/>
        </w:rPr>
        <w:t>d snacks</w:t>
      </w:r>
      <w:r w:rsidR="000A6AE6">
        <w:rPr>
          <w:rFonts w:ascii="Arial" w:hAnsi="Arial" w:cs="Arial"/>
          <w:sz w:val="22"/>
          <w:szCs w:val="22"/>
        </w:rPr>
        <w:t>.</w:t>
      </w:r>
    </w:p>
    <w:p w14:paraId="2A32980C" w14:textId="50296E3D" w:rsidR="00792AA0" w:rsidRDefault="000A6AE6">
      <w:pPr>
        <w:rPr>
          <w:rFonts w:ascii="Arial" w:hAnsi="Arial" w:cs="Arial"/>
          <w:sz w:val="22"/>
          <w:szCs w:val="22"/>
        </w:rPr>
      </w:pPr>
      <w:r>
        <w:rPr>
          <w:rFonts w:ascii="Arial" w:hAnsi="Arial" w:cs="Arial"/>
          <w:sz w:val="22"/>
          <w:szCs w:val="22"/>
        </w:rPr>
        <w:t xml:space="preserve">We advise you to check </w:t>
      </w:r>
      <w:proofErr w:type="spellStart"/>
      <w:r>
        <w:rPr>
          <w:rFonts w:ascii="Arial" w:hAnsi="Arial" w:cs="Arial"/>
          <w:sz w:val="22"/>
          <w:szCs w:val="22"/>
        </w:rPr>
        <w:t>DfE</w:t>
      </w:r>
      <w:proofErr w:type="spellEnd"/>
      <w:r>
        <w:rPr>
          <w:rFonts w:ascii="Arial" w:hAnsi="Arial" w:cs="Arial"/>
          <w:sz w:val="22"/>
          <w:szCs w:val="22"/>
        </w:rPr>
        <w:t xml:space="preserve"> guidance on top up fees as this is being finalised.</w:t>
      </w:r>
    </w:p>
    <w:p w14:paraId="36FE5BC5" w14:textId="77777777" w:rsidR="000A6AE6" w:rsidRPr="00956BBF" w:rsidRDefault="000A6AE6">
      <w:pPr>
        <w:rPr>
          <w:rFonts w:ascii="Arial" w:hAnsi="Arial" w:cs="Arial"/>
          <w:sz w:val="22"/>
          <w:szCs w:val="22"/>
        </w:rPr>
      </w:pPr>
    </w:p>
    <w:p w14:paraId="7E91EC7E" w14:textId="35EDE7F8" w:rsidR="00792AA0" w:rsidRPr="00956BBF" w:rsidRDefault="00792AA0" w:rsidP="00327D1F">
      <w:pPr>
        <w:spacing w:after="120" w:line="280" w:lineRule="atLeast"/>
        <w:rPr>
          <w:rFonts w:ascii="Arial" w:hAnsi="Arial" w:cs="Arial"/>
          <w:i/>
          <w:sz w:val="22"/>
          <w:szCs w:val="22"/>
        </w:rPr>
      </w:pPr>
      <w:r w:rsidRPr="00956BBF">
        <w:rPr>
          <w:rFonts w:ascii="Arial" w:hAnsi="Arial" w:cs="Arial"/>
          <w:i/>
          <w:sz w:val="22"/>
          <w:szCs w:val="22"/>
        </w:rPr>
        <w:t>Flexibility and extended provision</w:t>
      </w:r>
      <w:r w:rsidR="002A5E3D" w:rsidRPr="00956BBF">
        <w:rPr>
          <w:rFonts w:ascii="Arial" w:hAnsi="Arial" w:cs="Arial"/>
          <w:i/>
          <w:sz w:val="22"/>
          <w:szCs w:val="22"/>
        </w:rPr>
        <w:t xml:space="preserve"> messages might include</w:t>
      </w:r>
    </w:p>
    <w:p w14:paraId="5CC0D0F0" w14:textId="3A74112B" w:rsidR="002A5E3D" w:rsidRPr="00956BBF" w:rsidRDefault="003A2400" w:rsidP="001E17B4">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 xml:space="preserve">Any </w:t>
      </w:r>
      <w:r w:rsidR="002A5E3D" w:rsidRPr="00956BBF">
        <w:rPr>
          <w:rFonts w:ascii="Arial" w:hAnsi="Arial" w:cs="Arial"/>
          <w:sz w:val="22"/>
          <w:szCs w:val="22"/>
        </w:rPr>
        <w:t xml:space="preserve">flexibility </w:t>
      </w:r>
      <w:r w:rsidR="00521384" w:rsidRPr="00956BBF">
        <w:rPr>
          <w:rFonts w:ascii="Arial" w:hAnsi="Arial" w:cs="Arial"/>
          <w:sz w:val="22"/>
          <w:szCs w:val="22"/>
        </w:rPr>
        <w:t>to deliver a stretched offer</w:t>
      </w:r>
      <w:r w:rsidR="009C1E38">
        <w:rPr>
          <w:rFonts w:ascii="Arial" w:hAnsi="Arial" w:cs="Arial"/>
          <w:sz w:val="22"/>
          <w:szCs w:val="22"/>
        </w:rPr>
        <w:t xml:space="preserve"> (</w:t>
      </w:r>
      <w:r w:rsidR="00B277A2">
        <w:rPr>
          <w:rFonts w:ascii="Arial" w:hAnsi="Arial" w:cs="Arial"/>
          <w:sz w:val="22"/>
          <w:szCs w:val="22"/>
        </w:rPr>
        <w:t>provision beyond core hours or term time, see FAQs)</w:t>
      </w:r>
      <w:r w:rsidR="00521384" w:rsidRPr="00956BBF">
        <w:rPr>
          <w:rFonts w:ascii="Arial" w:hAnsi="Arial" w:cs="Arial"/>
          <w:sz w:val="22"/>
          <w:szCs w:val="22"/>
        </w:rPr>
        <w:t xml:space="preserve">.  For example </w:t>
      </w:r>
      <w:r w:rsidR="00B277A2">
        <w:rPr>
          <w:rFonts w:ascii="Arial" w:hAnsi="Arial" w:cs="Arial"/>
          <w:sz w:val="22"/>
          <w:szCs w:val="22"/>
        </w:rPr>
        <w:t>is this offered by a single provider or via</w:t>
      </w:r>
      <w:r w:rsidR="00521384" w:rsidRPr="00956BBF">
        <w:rPr>
          <w:rFonts w:ascii="Arial" w:hAnsi="Arial" w:cs="Arial"/>
          <w:sz w:val="22"/>
          <w:szCs w:val="22"/>
        </w:rPr>
        <w:t xml:space="preserve"> a blended approach</w:t>
      </w:r>
    </w:p>
    <w:p w14:paraId="4253ED91" w14:textId="73ED23E7" w:rsidR="002A5E3D" w:rsidRPr="00956BBF" w:rsidRDefault="002A5E3D" w:rsidP="001E17B4">
      <w:pPr>
        <w:pStyle w:val="ListBullet"/>
        <w:numPr>
          <w:ilvl w:val="0"/>
          <w:numId w:val="16"/>
        </w:numPr>
        <w:spacing w:after="60" w:line="280" w:lineRule="atLeast"/>
        <w:rPr>
          <w:rFonts w:ascii="Arial" w:hAnsi="Arial" w:cs="Arial"/>
          <w:sz w:val="22"/>
          <w:szCs w:val="22"/>
        </w:rPr>
      </w:pPr>
      <w:r w:rsidRPr="00956BBF">
        <w:rPr>
          <w:rFonts w:ascii="Arial" w:hAnsi="Arial" w:cs="Arial"/>
          <w:sz w:val="22"/>
          <w:szCs w:val="22"/>
        </w:rPr>
        <w:t>Whether the stretched offer can be combined with paying for top up and</w:t>
      </w:r>
      <w:r w:rsidR="00956BBF" w:rsidRPr="00956BBF">
        <w:rPr>
          <w:rFonts w:ascii="Arial" w:hAnsi="Arial" w:cs="Arial"/>
          <w:sz w:val="22"/>
          <w:szCs w:val="22"/>
        </w:rPr>
        <w:t xml:space="preserve"> how this will work financially</w:t>
      </w:r>
    </w:p>
    <w:p w14:paraId="21EE0609" w14:textId="77777777" w:rsidR="00012752" w:rsidRPr="00956BBF" w:rsidRDefault="00012752" w:rsidP="001E17B4">
      <w:pPr>
        <w:pStyle w:val="ListBullet"/>
        <w:numPr>
          <w:ilvl w:val="0"/>
          <w:numId w:val="0"/>
        </w:numPr>
        <w:spacing w:after="60" w:line="280" w:lineRule="atLeast"/>
        <w:ind w:left="720"/>
        <w:rPr>
          <w:rFonts w:ascii="Arial" w:hAnsi="Arial" w:cs="Arial"/>
          <w:sz w:val="22"/>
          <w:szCs w:val="22"/>
        </w:rPr>
      </w:pPr>
    </w:p>
    <w:sectPr w:rsidR="00012752" w:rsidRPr="00956BBF" w:rsidSect="007E42D9">
      <w:headerReference w:type="default" r:id="rId13"/>
      <w:footerReference w:type="even" r:id="rId14"/>
      <w:footerReference w:type="default" r:id="rId15"/>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FE5B8" w14:textId="77777777" w:rsidR="009C1E38" w:rsidRDefault="009C1E38" w:rsidP="003161B7">
      <w:r>
        <w:separator/>
      </w:r>
    </w:p>
  </w:endnote>
  <w:endnote w:type="continuationSeparator" w:id="0">
    <w:p w14:paraId="11103FD1" w14:textId="77777777" w:rsidR="009C1E38" w:rsidRDefault="009C1E38" w:rsidP="0031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3DDA" w14:textId="77777777" w:rsidR="009C1E38" w:rsidRDefault="009C1E38" w:rsidP="00C26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AE3E3" w14:textId="77777777" w:rsidR="009C1E38" w:rsidRDefault="009C1E38" w:rsidP="003161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8C6A9" w14:textId="77777777" w:rsidR="009C1E38" w:rsidRDefault="009C1E38" w:rsidP="00C26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70F">
      <w:rPr>
        <w:rStyle w:val="PageNumber"/>
        <w:noProof/>
      </w:rPr>
      <w:t>1</w:t>
    </w:r>
    <w:r>
      <w:rPr>
        <w:rStyle w:val="PageNumber"/>
      </w:rPr>
      <w:fldChar w:fldCharType="end"/>
    </w:r>
  </w:p>
  <w:p w14:paraId="7F09A556" w14:textId="77777777" w:rsidR="009C1E38" w:rsidRDefault="009C1E38" w:rsidP="003161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D35D9" w14:textId="77777777" w:rsidR="009C1E38" w:rsidRDefault="009C1E38" w:rsidP="003161B7">
      <w:r>
        <w:separator/>
      </w:r>
    </w:p>
  </w:footnote>
  <w:footnote w:type="continuationSeparator" w:id="0">
    <w:p w14:paraId="487C13A8" w14:textId="77777777" w:rsidR="009C1E38" w:rsidRDefault="009C1E38" w:rsidP="00316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42D34" w14:textId="77777777" w:rsidR="009C1E38" w:rsidRDefault="009C1E38" w:rsidP="00327D1F">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3307151C" wp14:editId="4529D444">
          <wp:simplePos x="0" y="0"/>
          <wp:positionH relativeFrom="page">
            <wp:posOffset>323850</wp:posOffset>
          </wp:positionH>
          <wp:positionV relativeFrom="page">
            <wp:posOffset>723900</wp:posOffset>
          </wp:positionV>
          <wp:extent cx="2132965" cy="457200"/>
          <wp:effectExtent l="0" t="0" r="635" b="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t="1" b="22580"/>
                  <a:stretch/>
                </pic:blipFill>
                <pic:spPr bwMode="auto">
                  <a:xfrm>
                    <a:off x="0" y="0"/>
                    <a:ext cx="213296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6AFAE195" wp14:editId="35AD0784">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19052214" w14:textId="77777777" w:rsidR="009C1E38" w:rsidRDefault="009C1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2E9A3A"/>
    <w:lvl w:ilvl="0">
      <w:start w:val="1"/>
      <w:numFmt w:val="bullet"/>
      <w:lvlText w:val=""/>
      <w:lvlJc w:val="left"/>
      <w:pPr>
        <w:tabs>
          <w:tab w:val="num" w:pos="360"/>
        </w:tabs>
        <w:ind w:left="360" w:hanging="360"/>
      </w:pPr>
      <w:rPr>
        <w:rFonts w:ascii="Symbol" w:hAnsi="Symbol" w:hint="default"/>
      </w:rPr>
    </w:lvl>
  </w:abstractNum>
  <w:abstractNum w:abstractNumId="1">
    <w:nsid w:val="099F4F1B"/>
    <w:multiLevelType w:val="hybridMultilevel"/>
    <w:tmpl w:val="6E3C79C2"/>
    <w:lvl w:ilvl="0" w:tplc="FD7AB616">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C423F"/>
    <w:multiLevelType w:val="hybridMultilevel"/>
    <w:tmpl w:val="6FF6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341A4A"/>
    <w:multiLevelType w:val="hybridMultilevel"/>
    <w:tmpl w:val="9662A410"/>
    <w:lvl w:ilvl="0" w:tplc="FD7AB616">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C6C28"/>
    <w:multiLevelType w:val="hybridMultilevel"/>
    <w:tmpl w:val="74C4E64C"/>
    <w:lvl w:ilvl="0" w:tplc="15D60D9C">
      <w:start w:val="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44495"/>
    <w:multiLevelType w:val="hybridMultilevel"/>
    <w:tmpl w:val="1EF2A648"/>
    <w:lvl w:ilvl="0" w:tplc="FD7AB616">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361DF3"/>
    <w:multiLevelType w:val="hybridMultilevel"/>
    <w:tmpl w:val="50FC61DE"/>
    <w:lvl w:ilvl="0" w:tplc="34C610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310C7A"/>
    <w:multiLevelType w:val="hybridMultilevel"/>
    <w:tmpl w:val="C8E0F766"/>
    <w:lvl w:ilvl="0" w:tplc="34C610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B368CA"/>
    <w:multiLevelType w:val="multilevel"/>
    <w:tmpl w:val="74C4E64C"/>
    <w:lvl w:ilvl="0">
      <w:start w:val="3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22D402C"/>
    <w:multiLevelType w:val="hybridMultilevel"/>
    <w:tmpl w:val="4956D3E8"/>
    <w:lvl w:ilvl="0" w:tplc="34C610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92646AA"/>
    <w:multiLevelType w:val="hybridMultilevel"/>
    <w:tmpl w:val="6076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F31EB7"/>
    <w:multiLevelType w:val="hybridMultilevel"/>
    <w:tmpl w:val="B52E44CC"/>
    <w:lvl w:ilvl="0" w:tplc="FD7AB616">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F3400"/>
    <w:multiLevelType w:val="hybridMultilevel"/>
    <w:tmpl w:val="2EBC4DA6"/>
    <w:lvl w:ilvl="0" w:tplc="15D60D9C">
      <w:start w:val="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A57A61"/>
    <w:multiLevelType w:val="hybridMultilevel"/>
    <w:tmpl w:val="394A5350"/>
    <w:lvl w:ilvl="0" w:tplc="FD7AB616">
      <w:start w:val="1"/>
      <w:numFmt w:val="bullet"/>
      <w:pStyle w:val="List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BF0C5A"/>
    <w:multiLevelType w:val="multilevel"/>
    <w:tmpl w:val="74C4E64C"/>
    <w:lvl w:ilvl="0">
      <w:start w:val="3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27E2DAB"/>
    <w:multiLevelType w:val="hybridMultilevel"/>
    <w:tmpl w:val="98F8E19C"/>
    <w:lvl w:ilvl="0" w:tplc="FD7AB616">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022C9"/>
    <w:multiLevelType w:val="hybridMultilevel"/>
    <w:tmpl w:val="A5C4FD46"/>
    <w:lvl w:ilvl="0" w:tplc="FD7AB616">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E6CAB"/>
    <w:multiLevelType w:val="hybridMultilevel"/>
    <w:tmpl w:val="EC4EFC26"/>
    <w:lvl w:ilvl="0" w:tplc="B6C2D5EA">
      <w:start w:val="7"/>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7"/>
  </w:num>
  <w:num w:numId="2">
    <w:abstractNumId w:val="4"/>
  </w:num>
  <w:num w:numId="3">
    <w:abstractNumId w:val="12"/>
  </w:num>
  <w:num w:numId="4">
    <w:abstractNumId w:val="7"/>
  </w:num>
  <w:num w:numId="5">
    <w:abstractNumId w:val="6"/>
  </w:num>
  <w:num w:numId="6">
    <w:abstractNumId w:val="9"/>
  </w:num>
  <w:num w:numId="7">
    <w:abstractNumId w:val="8"/>
  </w:num>
  <w:num w:numId="8">
    <w:abstractNumId w:val="14"/>
  </w:num>
  <w:num w:numId="9">
    <w:abstractNumId w:val="0"/>
  </w:num>
  <w:num w:numId="10">
    <w:abstractNumId w:val="5"/>
  </w:num>
  <w:num w:numId="11">
    <w:abstractNumId w:val="11"/>
  </w:num>
  <w:num w:numId="12">
    <w:abstractNumId w:val="15"/>
  </w:num>
  <w:num w:numId="13">
    <w:abstractNumId w:val="1"/>
  </w:num>
  <w:num w:numId="14">
    <w:abstractNumId w:val="16"/>
  </w:num>
  <w:num w:numId="15">
    <w:abstractNumId w:val="13"/>
  </w:num>
  <w:num w:numId="16">
    <w:abstractNumId w:val="10"/>
  </w:num>
  <w:num w:numId="17">
    <w:abstractNumId w:val="13"/>
  </w:num>
  <w:num w:numId="18">
    <w:abstractNumId w:val="2"/>
  </w:num>
  <w:num w:numId="19">
    <w:abstractNumId w:val="13"/>
  </w:num>
  <w:num w:numId="20">
    <w:abstractNumId w:val="13"/>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07"/>
    <w:rsid w:val="00012752"/>
    <w:rsid w:val="000A6AE6"/>
    <w:rsid w:val="00104B4B"/>
    <w:rsid w:val="00117B78"/>
    <w:rsid w:val="001C27B9"/>
    <w:rsid w:val="001C54A1"/>
    <w:rsid w:val="001E17B4"/>
    <w:rsid w:val="001F1FCE"/>
    <w:rsid w:val="00201521"/>
    <w:rsid w:val="00211895"/>
    <w:rsid w:val="00256E72"/>
    <w:rsid w:val="002A5E3D"/>
    <w:rsid w:val="002F392A"/>
    <w:rsid w:val="003161B7"/>
    <w:rsid w:val="00316E06"/>
    <w:rsid w:val="00327D1F"/>
    <w:rsid w:val="003331FD"/>
    <w:rsid w:val="00350FD2"/>
    <w:rsid w:val="003536CE"/>
    <w:rsid w:val="003925DE"/>
    <w:rsid w:val="003A2400"/>
    <w:rsid w:val="003D2353"/>
    <w:rsid w:val="003F36E0"/>
    <w:rsid w:val="00404ABB"/>
    <w:rsid w:val="00452DEB"/>
    <w:rsid w:val="004A0B88"/>
    <w:rsid w:val="004F65A5"/>
    <w:rsid w:val="00521384"/>
    <w:rsid w:val="00521D9A"/>
    <w:rsid w:val="00524D76"/>
    <w:rsid w:val="005457C8"/>
    <w:rsid w:val="005B2E7E"/>
    <w:rsid w:val="005D6A6D"/>
    <w:rsid w:val="005E2860"/>
    <w:rsid w:val="00604491"/>
    <w:rsid w:val="00616E0D"/>
    <w:rsid w:val="00682035"/>
    <w:rsid w:val="00693B1F"/>
    <w:rsid w:val="006B45A3"/>
    <w:rsid w:val="00735CB9"/>
    <w:rsid w:val="0074770F"/>
    <w:rsid w:val="0077799E"/>
    <w:rsid w:val="00792AA0"/>
    <w:rsid w:val="007C134E"/>
    <w:rsid w:val="007E42D9"/>
    <w:rsid w:val="008E3E53"/>
    <w:rsid w:val="0095257D"/>
    <w:rsid w:val="00956BBF"/>
    <w:rsid w:val="00967628"/>
    <w:rsid w:val="009C1E38"/>
    <w:rsid w:val="009E0D73"/>
    <w:rsid w:val="00A1574E"/>
    <w:rsid w:val="00A27BC2"/>
    <w:rsid w:val="00A27CBF"/>
    <w:rsid w:val="00A50210"/>
    <w:rsid w:val="00A5688E"/>
    <w:rsid w:val="00AC19BB"/>
    <w:rsid w:val="00B277A2"/>
    <w:rsid w:val="00B669B4"/>
    <w:rsid w:val="00B704CC"/>
    <w:rsid w:val="00B74F41"/>
    <w:rsid w:val="00B83B84"/>
    <w:rsid w:val="00BA09E3"/>
    <w:rsid w:val="00BA3A2F"/>
    <w:rsid w:val="00BB389A"/>
    <w:rsid w:val="00BF1B00"/>
    <w:rsid w:val="00BF63FC"/>
    <w:rsid w:val="00C13CE0"/>
    <w:rsid w:val="00C26E2C"/>
    <w:rsid w:val="00CD28F2"/>
    <w:rsid w:val="00D00280"/>
    <w:rsid w:val="00D15397"/>
    <w:rsid w:val="00D1762E"/>
    <w:rsid w:val="00D20996"/>
    <w:rsid w:val="00D21397"/>
    <w:rsid w:val="00D572EE"/>
    <w:rsid w:val="00D61C07"/>
    <w:rsid w:val="00DD2392"/>
    <w:rsid w:val="00E231DE"/>
    <w:rsid w:val="00E57A3E"/>
    <w:rsid w:val="00E762FB"/>
    <w:rsid w:val="00F12794"/>
    <w:rsid w:val="00F31AD2"/>
    <w:rsid w:val="00F34FBE"/>
    <w:rsid w:val="00F421FC"/>
    <w:rsid w:val="00FA29ED"/>
    <w:rsid w:val="00FE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8775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07"/>
    <w:pPr>
      <w:ind w:left="720"/>
      <w:contextualSpacing/>
    </w:pPr>
  </w:style>
  <w:style w:type="character" w:styleId="CommentReference">
    <w:name w:val="annotation reference"/>
    <w:basedOn w:val="DefaultParagraphFont"/>
    <w:uiPriority w:val="99"/>
    <w:semiHidden/>
    <w:unhideWhenUsed/>
    <w:rsid w:val="00967628"/>
    <w:rPr>
      <w:sz w:val="18"/>
      <w:szCs w:val="18"/>
    </w:rPr>
  </w:style>
  <w:style w:type="paragraph" w:styleId="CommentText">
    <w:name w:val="annotation text"/>
    <w:basedOn w:val="Normal"/>
    <w:link w:val="CommentTextChar"/>
    <w:uiPriority w:val="99"/>
    <w:semiHidden/>
    <w:unhideWhenUsed/>
    <w:rsid w:val="00967628"/>
  </w:style>
  <w:style w:type="character" w:customStyle="1" w:styleId="CommentTextChar">
    <w:name w:val="Comment Text Char"/>
    <w:basedOn w:val="DefaultParagraphFont"/>
    <w:link w:val="CommentText"/>
    <w:uiPriority w:val="99"/>
    <w:semiHidden/>
    <w:rsid w:val="00967628"/>
    <w:rPr>
      <w:lang w:val="en-GB"/>
    </w:rPr>
  </w:style>
  <w:style w:type="paragraph" w:styleId="CommentSubject">
    <w:name w:val="annotation subject"/>
    <w:basedOn w:val="CommentText"/>
    <w:next w:val="CommentText"/>
    <w:link w:val="CommentSubjectChar"/>
    <w:uiPriority w:val="99"/>
    <w:semiHidden/>
    <w:unhideWhenUsed/>
    <w:rsid w:val="00967628"/>
    <w:rPr>
      <w:b/>
      <w:bCs/>
      <w:sz w:val="20"/>
      <w:szCs w:val="20"/>
    </w:rPr>
  </w:style>
  <w:style w:type="character" w:customStyle="1" w:styleId="CommentSubjectChar">
    <w:name w:val="Comment Subject Char"/>
    <w:basedOn w:val="CommentTextChar"/>
    <w:link w:val="CommentSubject"/>
    <w:uiPriority w:val="99"/>
    <w:semiHidden/>
    <w:rsid w:val="00967628"/>
    <w:rPr>
      <w:b/>
      <w:bCs/>
      <w:sz w:val="20"/>
      <w:szCs w:val="20"/>
      <w:lang w:val="en-GB"/>
    </w:rPr>
  </w:style>
  <w:style w:type="paragraph" w:styleId="BalloonText">
    <w:name w:val="Balloon Text"/>
    <w:basedOn w:val="Normal"/>
    <w:link w:val="BalloonTextChar"/>
    <w:uiPriority w:val="99"/>
    <w:semiHidden/>
    <w:unhideWhenUsed/>
    <w:rsid w:val="00967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628"/>
    <w:rPr>
      <w:rFonts w:ascii="Lucida Grande" w:hAnsi="Lucida Grande" w:cs="Lucida Grande"/>
      <w:sz w:val="18"/>
      <w:szCs w:val="18"/>
      <w:lang w:val="en-GB"/>
    </w:rPr>
  </w:style>
  <w:style w:type="table" w:styleId="TableGrid">
    <w:name w:val="Table Grid"/>
    <w:basedOn w:val="TableNormal"/>
    <w:uiPriority w:val="59"/>
    <w:rsid w:val="003331FD"/>
    <w:rPr>
      <w:rFonts w:ascii="Arial" w:hAnsi="Arial" w:cs="Arial"/>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56BBF"/>
    <w:pPr>
      <w:numPr>
        <w:numId w:val="15"/>
      </w:numPr>
      <w:contextualSpacing/>
    </w:pPr>
  </w:style>
  <w:style w:type="paragraph" w:styleId="Footer">
    <w:name w:val="footer"/>
    <w:basedOn w:val="Normal"/>
    <w:link w:val="FooterChar"/>
    <w:uiPriority w:val="99"/>
    <w:unhideWhenUsed/>
    <w:rsid w:val="003161B7"/>
    <w:pPr>
      <w:tabs>
        <w:tab w:val="center" w:pos="4320"/>
        <w:tab w:val="right" w:pos="8640"/>
      </w:tabs>
    </w:pPr>
  </w:style>
  <w:style w:type="character" w:customStyle="1" w:styleId="FooterChar">
    <w:name w:val="Footer Char"/>
    <w:basedOn w:val="DefaultParagraphFont"/>
    <w:link w:val="Footer"/>
    <w:uiPriority w:val="99"/>
    <w:rsid w:val="003161B7"/>
    <w:rPr>
      <w:lang w:val="en-GB"/>
    </w:rPr>
  </w:style>
  <w:style w:type="character" w:styleId="PageNumber">
    <w:name w:val="page number"/>
    <w:basedOn w:val="DefaultParagraphFont"/>
    <w:uiPriority w:val="99"/>
    <w:semiHidden/>
    <w:unhideWhenUsed/>
    <w:rsid w:val="003161B7"/>
  </w:style>
  <w:style w:type="paragraph" w:styleId="Header">
    <w:name w:val="header"/>
    <w:basedOn w:val="Normal"/>
    <w:link w:val="HeaderChar"/>
    <w:uiPriority w:val="99"/>
    <w:unhideWhenUsed/>
    <w:rsid w:val="003161B7"/>
    <w:pPr>
      <w:tabs>
        <w:tab w:val="center" w:pos="4320"/>
        <w:tab w:val="right" w:pos="8640"/>
      </w:tabs>
    </w:pPr>
  </w:style>
  <w:style w:type="character" w:customStyle="1" w:styleId="HeaderChar">
    <w:name w:val="Header Char"/>
    <w:basedOn w:val="DefaultParagraphFont"/>
    <w:link w:val="Header"/>
    <w:uiPriority w:val="99"/>
    <w:rsid w:val="003161B7"/>
    <w:rPr>
      <w:lang w:val="en-GB"/>
    </w:rPr>
  </w:style>
  <w:style w:type="character" w:styleId="Hyperlink">
    <w:name w:val="Hyperlink"/>
    <w:basedOn w:val="DefaultParagraphFont"/>
    <w:uiPriority w:val="99"/>
    <w:unhideWhenUsed/>
    <w:rsid w:val="00BF63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07"/>
    <w:pPr>
      <w:ind w:left="720"/>
      <w:contextualSpacing/>
    </w:pPr>
  </w:style>
  <w:style w:type="character" w:styleId="CommentReference">
    <w:name w:val="annotation reference"/>
    <w:basedOn w:val="DefaultParagraphFont"/>
    <w:uiPriority w:val="99"/>
    <w:semiHidden/>
    <w:unhideWhenUsed/>
    <w:rsid w:val="00967628"/>
    <w:rPr>
      <w:sz w:val="18"/>
      <w:szCs w:val="18"/>
    </w:rPr>
  </w:style>
  <w:style w:type="paragraph" w:styleId="CommentText">
    <w:name w:val="annotation text"/>
    <w:basedOn w:val="Normal"/>
    <w:link w:val="CommentTextChar"/>
    <w:uiPriority w:val="99"/>
    <w:semiHidden/>
    <w:unhideWhenUsed/>
    <w:rsid w:val="00967628"/>
  </w:style>
  <w:style w:type="character" w:customStyle="1" w:styleId="CommentTextChar">
    <w:name w:val="Comment Text Char"/>
    <w:basedOn w:val="DefaultParagraphFont"/>
    <w:link w:val="CommentText"/>
    <w:uiPriority w:val="99"/>
    <w:semiHidden/>
    <w:rsid w:val="00967628"/>
    <w:rPr>
      <w:lang w:val="en-GB"/>
    </w:rPr>
  </w:style>
  <w:style w:type="paragraph" w:styleId="CommentSubject">
    <w:name w:val="annotation subject"/>
    <w:basedOn w:val="CommentText"/>
    <w:next w:val="CommentText"/>
    <w:link w:val="CommentSubjectChar"/>
    <w:uiPriority w:val="99"/>
    <w:semiHidden/>
    <w:unhideWhenUsed/>
    <w:rsid w:val="00967628"/>
    <w:rPr>
      <w:b/>
      <w:bCs/>
      <w:sz w:val="20"/>
      <w:szCs w:val="20"/>
    </w:rPr>
  </w:style>
  <w:style w:type="character" w:customStyle="1" w:styleId="CommentSubjectChar">
    <w:name w:val="Comment Subject Char"/>
    <w:basedOn w:val="CommentTextChar"/>
    <w:link w:val="CommentSubject"/>
    <w:uiPriority w:val="99"/>
    <w:semiHidden/>
    <w:rsid w:val="00967628"/>
    <w:rPr>
      <w:b/>
      <w:bCs/>
      <w:sz w:val="20"/>
      <w:szCs w:val="20"/>
      <w:lang w:val="en-GB"/>
    </w:rPr>
  </w:style>
  <w:style w:type="paragraph" w:styleId="BalloonText">
    <w:name w:val="Balloon Text"/>
    <w:basedOn w:val="Normal"/>
    <w:link w:val="BalloonTextChar"/>
    <w:uiPriority w:val="99"/>
    <w:semiHidden/>
    <w:unhideWhenUsed/>
    <w:rsid w:val="00967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628"/>
    <w:rPr>
      <w:rFonts w:ascii="Lucida Grande" w:hAnsi="Lucida Grande" w:cs="Lucida Grande"/>
      <w:sz w:val="18"/>
      <w:szCs w:val="18"/>
      <w:lang w:val="en-GB"/>
    </w:rPr>
  </w:style>
  <w:style w:type="table" w:styleId="TableGrid">
    <w:name w:val="Table Grid"/>
    <w:basedOn w:val="TableNormal"/>
    <w:uiPriority w:val="59"/>
    <w:rsid w:val="003331FD"/>
    <w:rPr>
      <w:rFonts w:ascii="Arial" w:hAnsi="Arial" w:cs="Arial"/>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56BBF"/>
    <w:pPr>
      <w:numPr>
        <w:numId w:val="15"/>
      </w:numPr>
      <w:contextualSpacing/>
    </w:pPr>
  </w:style>
  <w:style w:type="paragraph" w:styleId="Footer">
    <w:name w:val="footer"/>
    <w:basedOn w:val="Normal"/>
    <w:link w:val="FooterChar"/>
    <w:uiPriority w:val="99"/>
    <w:unhideWhenUsed/>
    <w:rsid w:val="003161B7"/>
    <w:pPr>
      <w:tabs>
        <w:tab w:val="center" w:pos="4320"/>
        <w:tab w:val="right" w:pos="8640"/>
      </w:tabs>
    </w:pPr>
  </w:style>
  <w:style w:type="character" w:customStyle="1" w:styleId="FooterChar">
    <w:name w:val="Footer Char"/>
    <w:basedOn w:val="DefaultParagraphFont"/>
    <w:link w:val="Footer"/>
    <w:uiPriority w:val="99"/>
    <w:rsid w:val="003161B7"/>
    <w:rPr>
      <w:lang w:val="en-GB"/>
    </w:rPr>
  </w:style>
  <w:style w:type="character" w:styleId="PageNumber">
    <w:name w:val="page number"/>
    <w:basedOn w:val="DefaultParagraphFont"/>
    <w:uiPriority w:val="99"/>
    <w:semiHidden/>
    <w:unhideWhenUsed/>
    <w:rsid w:val="003161B7"/>
  </w:style>
  <w:style w:type="paragraph" w:styleId="Header">
    <w:name w:val="header"/>
    <w:basedOn w:val="Normal"/>
    <w:link w:val="HeaderChar"/>
    <w:uiPriority w:val="99"/>
    <w:unhideWhenUsed/>
    <w:rsid w:val="003161B7"/>
    <w:pPr>
      <w:tabs>
        <w:tab w:val="center" w:pos="4320"/>
        <w:tab w:val="right" w:pos="8640"/>
      </w:tabs>
    </w:pPr>
  </w:style>
  <w:style w:type="character" w:customStyle="1" w:styleId="HeaderChar">
    <w:name w:val="Header Char"/>
    <w:basedOn w:val="DefaultParagraphFont"/>
    <w:link w:val="Header"/>
    <w:uiPriority w:val="99"/>
    <w:rsid w:val="003161B7"/>
    <w:rPr>
      <w:lang w:val="en-GB"/>
    </w:rPr>
  </w:style>
  <w:style w:type="character" w:styleId="Hyperlink">
    <w:name w:val="Hyperlink"/>
    <w:basedOn w:val="DefaultParagraphFont"/>
    <w:uiPriority w:val="99"/>
    <w:unhideWhenUsed/>
    <w:rsid w:val="00BF6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sites/default/files/Assessing%20demand%20guidance%20for%20providers.doc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milyandchildcaretrust.org/sites/default/files/Help%20with%20childcare%20costs.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andchildcaretrust.org/sites/default/files/action%20planning%20guidelines.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milyandchildcaretrust.org/delivery-models-dfes-30-hours-mixed-model-partnership-toolkit" TargetMode="External"/><Relationship Id="rId4" Type="http://schemas.openxmlformats.org/officeDocument/2006/relationships/settings" Target="settings.xml"/><Relationship Id="rId9" Type="http://schemas.openxmlformats.org/officeDocument/2006/relationships/hyperlink" Target="http://www.familyandchildcaretrust.org/sites/default/files/Marketing%20the%20partnership%20offer.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4DDCC489</Template>
  <TotalTime>24</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Kate Miller</cp:lastModifiedBy>
  <cp:revision>5</cp:revision>
  <dcterms:created xsi:type="dcterms:W3CDTF">2016-11-24T10:43:00Z</dcterms:created>
  <dcterms:modified xsi:type="dcterms:W3CDTF">2016-11-24T11:19:00Z</dcterms:modified>
</cp:coreProperties>
</file>