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087F" w14:textId="77777777" w:rsidR="0068485E" w:rsidRPr="00AC52C7" w:rsidRDefault="004C036B" w:rsidP="00183413">
      <w:pPr>
        <w:spacing w:line="280" w:lineRule="atLeast"/>
        <w:rPr>
          <w:b/>
          <w:szCs w:val="22"/>
        </w:rPr>
      </w:pPr>
      <w:r w:rsidRPr="00AC52C7">
        <w:rPr>
          <w:b/>
          <w:szCs w:val="22"/>
        </w:rPr>
        <w:t>Assessing r</w:t>
      </w:r>
      <w:r w:rsidR="0068485E" w:rsidRPr="00AC52C7">
        <w:rPr>
          <w:b/>
          <w:szCs w:val="22"/>
        </w:rPr>
        <w:t>isk</w:t>
      </w:r>
      <w:r w:rsidRPr="00AC52C7">
        <w:rPr>
          <w:b/>
          <w:szCs w:val="22"/>
        </w:rPr>
        <w:t>s in partnership working</w:t>
      </w:r>
    </w:p>
    <w:p w14:paraId="5900D417" w14:textId="77777777" w:rsidR="0068485E" w:rsidRPr="00AC52C7" w:rsidRDefault="0068485E" w:rsidP="00183413">
      <w:pPr>
        <w:spacing w:line="280" w:lineRule="atLeast"/>
        <w:rPr>
          <w:szCs w:val="22"/>
        </w:rPr>
      </w:pPr>
    </w:p>
    <w:p w14:paraId="0FD55C09" w14:textId="00290B2B" w:rsidR="00482C46" w:rsidRDefault="009E653F" w:rsidP="00183413">
      <w:pPr>
        <w:spacing w:line="280" w:lineRule="atLeast"/>
      </w:pPr>
      <w:r>
        <w:t>All activities come with risks</w:t>
      </w:r>
      <w:r w:rsidR="00983074">
        <w:t>.  Some</w:t>
      </w:r>
      <w:r w:rsidR="00843786">
        <w:t xml:space="preserve">times just the thought of risk can be enough to </w:t>
      </w:r>
      <w:r w:rsidR="008950DC">
        <w:t xml:space="preserve">deter </w:t>
      </w:r>
      <w:r w:rsidR="00482C46">
        <w:t>participation</w:t>
      </w:r>
      <w:r w:rsidR="007709D1">
        <w:t xml:space="preserve"> -</w:t>
      </w:r>
      <w:r w:rsidR="00482C46">
        <w:t xml:space="preserve"> but risks also come with benefits.</w:t>
      </w:r>
      <w:r w:rsidR="00F63CAF">
        <w:t xml:space="preserve">  </w:t>
      </w:r>
      <w:r w:rsidR="00482C46">
        <w:t>Being able to clearly and honestly assess risks at the outset</w:t>
      </w:r>
      <w:r w:rsidR="007709D1">
        <w:t>,</w:t>
      </w:r>
      <w:r w:rsidR="00482C46">
        <w:t xml:space="preserve"> and </w:t>
      </w:r>
      <w:r w:rsidR="00F63CAF">
        <w:t xml:space="preserve">then being able </w:t>
      </w:r>
      <w:r w:rsidR="006177CC">
        <w:t>to monitor and manage them during a partnership or project can significantly increase the likelihood of success.  I</w:t>
      </w:r>
      <w:r w:rsidR="00F63CAF">
        <w:t xml:space="preserve">t can also enhance partnership working by building trust and mutual respect.  See </w:t>
      </w:r>
      <w:hyperlink r:id="rId7" w:history="1">
        <w:r w:rsidR="003813CB" w:rsidRPr="0090204E">
          <w:rPr>
            <w:rStyle w:val="Hyperlink"/>
            <w:b/>
          </w:rPr>
          <w:t>Relationship M</w:t>
        </w:r>
        <w:r w:rsidR="00F63CAF" w:rsidRPr="0090204E">
          <w:rPr>
            <w:rStyle w:val="Hyperlink"/>
            <w:b/>
          </w:rPr>
          <w:t>anagement</w:t>
        </w:r>
      </w:hyperlink>
      <w:r w:rsidR="00F63CAF">
        <w:t xml:space="preserve"> for more information about working together and </w:t>
      </w:r>
      <w:hyperlink r:id="rId8" w:history="1">
        <w:r w:rsidR="003813CB" w:rsidRPr="006E72B9">
          <w:rPr>
            <w:rStyle w:val="Hyperlink"/>
            <w:b/>
          </w:rPr>
          <w:t>W</w:t>
        </w:r>
        <w:r w:rsidR="009D53F9" w:rsidRPr="006E72B9">
          <w:rPr>
            <w:rStyle w:val="Hyperlink"/>
            <w:b/>
          </w:rPr>
          <w:t xml:space="preserve">hat </w:t>
        </w:r>
        <w:r w:rsidR="00F63CAF" w:rsidRPr="006E72B9">
          <w:rPr>
            <w:rStyle w:val="Hyperlink"/>
            <w:b/>
          </w:rPr>
          <w:t xml:space="preserve">a partnership </w:t>
        </w:r>
        <w:r w:rsidR="009D53F9" w:rsidRPr="006E72B9">
          <w:rPr>
            <w:rStyle w:val="Hyperlink"/>
            <w:b/>
          </w:rPr>
          <w:t xml:space="preserve">might </w:t>
        </w:r>
        <w:r w:rsidR="00F63CAF" w:rsidRPr="006E72B9">
          <w:rPr>
            <w:rStyle w:val="Hyperlink"/>
            <w:b/>
          </w:rPr>
          <w:t>look like</w:t>
        </w:r>
      </w:hyperlink>
      <w:r w:rsidR="00F63CAF">
        <w:t xml:space="preserve"> for more information on partnership approaches to delivering the extended </w:t>
      </w:r>
      <w:r w:rsidR="00AC52C7">
        <w:t>free</w:t>
      </w:r>
      <w:r w:rsidR="00F63CAF">
        <w:t xml:space="preserve"> entitlement</w:t>
      </w:r>
      <w:r w:rsidR="00AC52C7">
        <w:t xml:space="preserve"> for three and four year olds (EFE)</w:t>
      </w:r>
      <w:r w:rsidR="00862D1D">
        <w:t>.</w:t>
      </w:r>
      <w:r w:rsidR="00E37F5F">
        <w:t xml:space="preserve">  When thinking about risks, it is also useful to remember and identify the benefits associated with the partnership, activity or project as these can often outweigh or offset any risks.</w:t>
      </w:r>
    </w:p>
    <w:p w14:paraId="464E5C9D" w14:textId="77777777" w:rsidR="00983074" w:rsidRDefault="00983074" w:rsidP="00183413">
      <w:pPr>
        <w:spacing w:line="280" w:lineRule="atLeast"/>
      </w:pPr>
    </w:p>
    <w:p w14:paraId="22BAE641" w14:textId="578E8CD5" w:rsidR="00A30CA2" w:rsidRDefault="00A30CA2" w:rsidP="00183413">
      <w:pPr>
        <w:spacing w:line="280" w:lineRule="atLeast"/>
      </w:pPr>
      <w:r>
        <w:t xml:space="preserve">In relation to the </w:t>
      </w:r>
      <w:r w:rsidR="009D53F9">
        <w:t>EF</w:t>
      </w:r>
      <w:r w:rsidR="00AC52C7">
        <w:t>E</w:t>
      </w:r>
      <w:r>
        <w:t xml:space="preserve"> and a mixed partnership model approach to delivery, r</w:t>
      </w:r>
      <w:r w:rsidR="0068485E">
        <w:t>isks</w:t>
      </w:r>
      <w:r w:rsidR="001C24A2">
        <w:t xml:space="preserve"> areas could</w:t>
      </w:r>
      <w:r>
        <w:t xml:space="preserve"> include</w:t>
      </w:r>
      <w:r w:rsidR="007709D1">
        <w:t>:</w:t>
      </w:r>
      <w:r>
        <w:t xml:space="preserve"> </w:t>
      </w:r>
    </w:p>
    <w:p w14:paraId="690CAF9B" w14:textId="47314656" w:rsidR="001C24A2" w:rsidRDefault="001C24A2" w:rsidP="00C27A00">
      <w:pPr>
        <w:pStyle w:val="ListBullet"/>
        <w:numPr>
          <w:ilvl w:val="0"/>
          <w:numId w:val="19"/>
        </w:numPr>
        <w:spacing w:after="60" w:line="280" w:lineRule="atLeast"/>
        <w:ind w:right="-607"/>
      </w:pPr>
      <w:r>
        <w:t>Governance – strategic direc</w:t>
      </w:r>
      <w:r w:rsidR="00650FE2">
        <w:t xml:space="preserve">tion of the partnership, </w:t>
      </w:r>
      <w:r>
        <w:t>aims and principles</w:t>
      </w:r>
      <w:r w:rsidR="00403BBB">
        <w:t xml:space="preserve"> etc.</w:t>
      </w:r>
    </w:p>
    <w:p w14:paraId="6B280A24" w14:textId="1FBD9607" w:rsidR="001C24A2" w:rsidRDefault="00335900" w:rsidP="00C27A00">
      <w:pPr>
        <w:pStyle w:val="ListBullet"/>
        <w:numPr>
          <w:ilvl w:val="0"/>
          <w:numId w:val="19"/>
        </w:numPr>
        <w:spacing w:after="60" w:line="280" w:lineRule="atLeast"/>
        <w:ind w:right="-607"/>
      </w:pPr>
      <w:r>
        <w:t>Service d</w:t>
      </w:r>
      <w:r w:rsidR="001C24A2">
        <w:t>elivery – approach</w:t>
      </w:r>
      <w:r w:rsidR="006F38B9">
        <w:t>es</w:t>
      </w:r>
      <w:r w:rsidR="001C24A2">
        <w:t>, methods</w:t>
      </w:r>
      <w:r w:rsidR="006F38B9">
        <w:t xml:space="preserve">, </w:t>
      </w:r>
      <w:r w:rsidR="00403BBB">
        <w:t>take up, etc.</w:t>
      </w:r>
    </w:p>
    <w:p w14:paraId="0EFACAFC" w14:textId="69F2B95A" w:rsidR="0068485E" w:rsidRDefault="00A30CA2" w:rsidP="00C27A00">
      <w:pPr>
        <w:pStyle w:val="ListBullet"/>
        <w:numPr>
          <w:ilvl w:val="0"/>
          <w:numId w:val="19"/>
        </w:numPr>
        <w:spacing w:after="60" w:line="280" w:lineRule="atLeast"/>
        <w:ind w:right="-607"/>
      </w:pPr>
      <w:r w:rsidRPr="00A30CA2">
        <w:t xml:space="preserve">Staffing – recruitment, turnover, </w:t>
      </w:r>
      <w:r w:rsidR="0068485E" w:rsidRPr="00A30CA2">
        <w:t xml:space="preserve">skills, qualifications </w:t>
      </w:r>
      <w:r w:rsidRPr="00A30CA2">
        <w:t>and experience, absenteeism etc</w:t>
      </w:r>
      <w:r w:rsidR="00403BBB">
        <w:t>.</w:t>
      </w:r>
    </w:p>
    <w:p w14:paraId="7C104BBE" w14:textId="12E157D1" w:rsidR="001C24A2" w:rsidRDefault="001C24A2" w:rsidP="00C27A00">
      <w:pPr>
        <w:pStyle w:val="ListBullet"/>
        <w:numPr>
          <w:ilvl w:val="0"/>
          <w:numId w:val="19"/>
        </w:numPr>
        <w:spacing w:after="60" w:line="280" w:lineRule="atLeast"/>
        <w:ind w:right="-607"/>
      </w:pPr>
      <w:r>
        <w:t xml:space="preserve">External </w:t>
      </w:r>
      <w:r w:rsidR="005A699F">
        <w:t xml:space="preserve">factors </w:t>
      </w:r>
      <w:r>
        <w:t xml:space="preserve">– reputation, </w:t>
      </w:r>
      <w:r w:rsidR="005A699F">
        <w:t xml:space="preserve">managing expectations, </w:t>
      </w:r>
      <w:r>
        <w:t xml:space="preserve">standards, </w:t>
      </w:r>
      <w:r w:rsidR="005A699F">
        <w:t>regulation compliance and inspection etc</w:t>
      </w:r>
      <w:r w:rsidR="00403BBB">
        <w:t>.</w:t>
      </w:r>
    </w:p>
    <w:p w14:paraId="281DB8AC" w14:textId="485F80E9" w:rsidR="005A699F" w:rsidRPr="00A30CA2" w:rsidRDefault="005A699F" w:rsidP="00C27A00">
      <w:pPr>
        <w:pStyle w:val="ListBullet"/>
        <w:numPr>
          <w:ilvl w:val="0"/>
          <w:numId w:val="19"/>
        </w:numPr>
        <w:spacing w:after="60" w:line="280" w:lineRule="atLeast"/>
        <w:ind w:right="-607"/>
      </w:pPr>
      <w:r>
        <w:t>Internal factors – trust, relationships, expectations</w:t>
      </w:r>
      <w:r w:rsidR="00335900">
        <w:t xml:space="preserve">, </w:t>
      </w:r>
      <w:r w:rsidR="00403BBB">
        <w:t>funding, communication etc.</w:t>
      </w:r>
    </w:p>
    <w:p w14:paraId="4BF45E4C" w14:textId="77777777" w:rsidR="0068485E" w:rsidRDefault="0068485E" w:rsidP="0068485E"/>
    <w:p w14:paraId="78D267DE" w14:textId="77777777" w:rsidR="0068485E" w:rsidRDefault="0068485E" w:rsidP="00183413">
      <w:pPr>
        <w:spacing w:line="280" w:lineRule="atLeast"/>
        <w:rPr>
          <w:b/>
        </w:rPr>
      </w:pPr>
      <w:r>
        <w:rPr>
          <w:b/>
        </w:rPr>
        <w:t>Scoring Matrix</w:t>
      </w:r>
    </w:p>
    <w:p w14:paraId="6277F0CA" w14:textId="6BCABD50" w:rsidR="0068485E" w:rsidRDefault="0068485E" w:rsidP="00183413">
      <w:pPr>
        <w:spacing w:line="280" w:lineRule="atLeast"/>
      </w:pPr>
      <w:r>
        <w:t xml:space="preserve">For each risk, a score will be given, determined by the likelihood of the risk being realised and the impact of the risk if it does happen. </w:t>
      </w:r>
      <w:r w:rsidR="00157499">
        <w:t xml:space="preserve"> </w:t>
      </w:r>
      <w:r>
        <w:t xml:space="preserve">The scoring matrix below shows how risks </w:t>
      </w:r>
      <w:r w:rsidR="00157499">
        <w:t xml:space="preserve">are </w:t>
      </w:r>
      <w:r>
        <w:t>“scored”</w:t>
      </w:r>
      <w:r w:rsidR="00157499">
        <w:t xml:space="preserve"> and subsequently graded.</w:t>
      </w:r>
    </w:p>
    <w:p w14:paraId="2E5D60AE" w14:textId="77777777" w:rsidR="0068485E" w:rsidRDefault="0068485E" w:rsidP="0068485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1156"/>
        <w:gridCol w:w="1174"/>
        <w:gridCol w:w="1174"/>
        <w:gridCol w:w="1152"/>
      </w:tblGrid>
      <w:tr w:rsidR="0068485E" w14:paraId="6965F035" w14:textId="77777777">
        <w:tc>
          <w:tcPr>
            <w:tcW w:w="5812" w:type="dxa"/>
            <w:gridSpan w:val="5"/>
          </w:tcPr>
          <w:p w14:paraId="4F52D13F" w14:textId="77777777" w:rsidR="0068485E" w:rsidRDefault="0068485E">
            <w:pPr>
              <w:jc w:val="center"/>
              <w:rPr>
                <w:b/>
              </w:rPr>
            </w:pPr>
          </w:p>
          <w:p w14:paraId="37323627" w14:textId="77777777" w:rsidR="0068485E" w:rsidRDefault="00157499">
            <w:pPr>
              <w:jc w:val="center"/>
              <w:rPr>
                <w:b/>
              </w:rPr>
            </w:pPr>
            <w:r>
              <w:rPr>
                <w:b/>
              </w:rPr>
              <w:t>Likelihood (1-3</w:t>
            </w:r>
            <w:r w:rsidR="0068485E">
              <w:rPr>
                <w:b/>
              </w:rPr>
              <w:t>)</w:t>
            </w:r>
          </w:p>
          <w:p w14:paraId="1C544EF6" w14:textId="77777777" w:rsidR="0068485E" w:rsidRDefault="0068485E">
            <w:pPr>
              <w:jc w:val="center"/>
              <w:rPr>
                <w:b/>
              </w:rPr>
            </w:pPr>
          </w:p>
        </w:tc>
      </w:tr>
      <w:tr w:rsidR="0068485E" w14:paraId="5E7EFF12" w14:textId="77777777">
        <w:tc>
          <w:tcPr>
            <w:tcW w:w="1156" w:type="dxa"/>
            <w:vMerge w:val="restart"/>
          </w:tcPr>
          <w:p w14:paraId="06BD0DFB" w14:textId="77777777" w:rsidR="0068485E" w:rsidRDefault="0068485E">
            <w:pPr>
              <w:rPr>
                <w:b/>
              </w:rPr>
            </w:pPr>
          </w:p>
          <w:p w14:paraId="1DCDF8CE" w14:textId="77777777" w:rsidR="0068485E" w:rsidRDefault="0068485E">
            <w:pPr>
              <w:rPr>
                <w:b/>
              </w:rPr>
            </w:pPr>
          </w:p>
          <w:p w14:paraId="01CEA72B" w14:textId="77777777" w:rsidR="0068485E" w:rsidRDefault="0068485E">
            <w:pPr>
              <w:pStyle w:val="Heading1"/>
            </w:pPr>
          </w:p>
          <w:p w14:paraId="6FEFD62A" w14:textId="77777777" w:rsidR="0068485E" w:rsidRDefault="0068485E">
            <w:pPr>
              <w:pStyle w:val="Heading1"/>
            </w:pPr>
          </w:p>
          <w:p w14:paraId="5EF7F647" w14:textId="77777777" w:rsidR="0068485E" w:rsidRDefault="0068485E">
            <w:pPr>
              <w:pStyle w:val="Heading1"/>
            </w:pPr>
          </w:p>
          <w:p w14:paraId="69AFFDA6" w14:textId="77777777" w:rsidR="0068485E" w:rsidRDefault="0068485E">
            <w:pPr>
              <w:pStyle w:val="Heading1"/>
            </w:pPr>
            <w:r>
              <w:t>Impact</w:t>
            </w:r>
          </w:p>
          <w:p w14:paraId="1FA2ACD0" w14:textId="77777777" w:rsidR="0068485E" w:rsidRDefault="00157499">
            <w:pPr>
              <w:jc w:val="center"/>
              <w:rPr>
                <w:b/>
              </w:rPr>
            </w:pPr>
            <w:r>
              <w:rPr>
                <w:b/>
              </w:rPr>
              <w:t>(1-3</w:t>
            </w:r>
            <w:r w:rsidR="0068485E">
              <w:rPr>
                <w:b/>
              </w:rPr>
              <w:t>)</w:t>
            </w:r>
          </w:p>
        </w:tc>
        <w:tc>
          <w:tcPr>
            <w:tcW w:w="1156" w:type="dxa"/>
          </w:tcPr>
          <w:p w14:paraId="3ECC636E" w14:textId="77777777" w:rsidR="0068485E" w:rsidRDefault="0068485E"/>
        </w:tc>
        <w:tc>
          <w:tcPr>
            <w:tcW w:w="1174" w:type="dxa"/>
          </w:tcPr>
          <w:p w14:paraId="420F51D2" w14:textId="77777777" w:rsidR="0068485E" w:rsidRDefault="0068485E">
            <w:pPr>
              <w:jc w:val="center"/>
              <w:rPr>
                <w:b/>
              </w:rPr>
            </w:pPr>
          </w:p>
          <w:p w14:paraId="60C2BD7A" w14:textId="77777777" w:rsidR="0068485E" w:rsidRDefault="0068485E">
            <w:pPr>
              <w:jc w:val="center"/>
              <w:rPr>
                <w:b/>
              </w:rPr>
            </w:pPr>
            <w:r>
              <w:rPr>
                <w:b/>
              </w:rPr>
              <w:t>Low</w:t>
            </w:r>
          </w:p>
          <w:p w14:paraId="29EBE982" w14:textId="77777777" w:rsidR="0068485E" w:rsidRDefault="0068485E">
            <w:pPr>
              <w:jc w:val="center"/>
              <w:rPr>
                <w:b/>
              </w:rPr>
            </w:pPr>
          </w:p>
        </w:tc>
        <w:tc>
          <w:tcPr>
            <w:tcW w:w="1174" w:type="dxa"/>
          </w:tcPr>
          <w:p w14:paraId="5A69E130" w14:textId="77777777" w:rsidR="0068485E" w:rsidRDefault="0068485E">
            <w:pPr>
              <w:jc w:val="center"/>
              <w:rPr>
                <w:b/>
              </w:rPr>
            </w:pPr>
          </w:p>
          <w:p w14:paraId="2AF0DAC9" w14:textId="77777777" w:rsidR="0068485E" w:rsidRDefault="0068485E">
            <w:pPr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152" w:type="dxa"/>
          </w:tcPr>
          <w:p w14:paraId="75061D85" w14:textId="77777777" w:rsidR="0068485E" w:rsidRDefault="0068485E">
            <w:pPr>
              <w:jc w:val="center"/>
              <w:rPr>
                <w:b/>
              </w:rPr>
            </w:pPr>
          </w:p>
          <w:p w14:paraId="06A7629E" w14:textId="77777777" w:rsidR="0068485E" w:rsidRDefault="0068485E">
            <w:pPr>
              <w:jc w:val="center"/>
              <w:rPr>
                <w:b/>
              </w:rPr>
            </w:pPr>
            <w:r>
              <w:rPr>
                <w:b/>
              </w:rPr>
              <w:t>High</w:t>
            </w:r>
          </w:p>
        </w:tc>
      </w:tr>
      <w:tr w:rsidR="0068485E" w14:paraId="24FD7F7F" w14:textId="77777777">
        <w:trPr>
          <w:trHeight w:val="558"/>
        </w:trPr>
        <w:tc>
          <w:tcPr>
            <w:tcW w:w="1156" w:type="dxa"/>
            <w:vMerge/>
            <w:tcBorders>
              <w:bottom w:val="single" w:sz="4" w:space="0" w:color="auto"/>
            </w:tcBorders>
          </w:tcPr>
          <w:p w14:paraId="490C2DCE" w14:textId="77777777" w:rsidR="0068485E" w:rsidRDefault="0068485E">
            <w:pPr>
              <w:rPr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734610A0" w14:textId="77777777" w:rsidR="0068485E" w:rsidRDefault="0068485E">
            <w:pPr>
              <w:rPr>
                <w:b/>
              </w:rPr>
            </w:pPr>
          </w:p>
          <w:p w14:paraId="61F8AD54" w14:textId="77777777" w:rsidR="0068485E" w:rsidRDefault="0068485E">
            <w:pPr>
              <w:rPr>
                <w:b/>
              </w:rPr>
            </w:pPr>
            <w:r>
              <w:rPr>
                <w:b/>
              </w:rPr>
              <w:t>Low</w:t>
            </w:r>
          </w:p>
          <w:p w14:paraId="1C1E5C3D" w14:textId="77777777" w:rsidR="0068485E" w:rsidRDefault="0068485E">
            <w:pPr>
              <w:rPr>
                <w:b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3C55924" w14:textId="77777777" w:rsidR="0068485E" w:rsidRDefault="0068485E">
            <w:pPr>
              <w:jc w:val="center"/>
            </w:pPr>
          </w:p>
          <w:p w14:paraId="54F990C5" w14:textId="77777777" w:rsidR="0068485E" w:rsidRDefault="0068485E">
            <w:pPr>
              <w:jc w:val="center"/>
            </w:pPr>
            <w:r>
              <w:t>1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533B57B" w14:textId="77777777" w:rsidR="0068485E" w:rsidRDefault="0068485E">
            <w:pPr>
              <w:jc w:val="center"/>
            </w:pPr>
          </w:p>
          <w:p w14:paraId="2BC5CFFB" w14:textId="77777777" w:rsidR="0068485E" w:rsidRDefault="00157499" w:rsidP="00157499">
            <w:pPr>
              <w:jc w:val="center"/>
            </w:pPr>
            <w:r>
              <w:t>2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EC88EAC" w14:textId="77777777" w:rsidR="0068485E" w:rsidRDefault="0068485E">
            <w:pPr>
              <w:jc w:val="center"/>
            </w:pPr>
          </w:p>
          <w:p w14:paraId="4F16490E" w14:textId="77777777" w:rsidR="0068485E" w:rsidRDefault="00157499" w:rsidP="00157499">
            <w:pPr>
              <w:jc w:val="center"/>
            </w:pPr>
            <w:r>
              <w:t>3</w:t>
            </w:r>
          </w:p>
        </w:tc>
      </w:tr>
      <w:tr w:rsidR="0068485E" w14:paraId="43EDD414" w14:textId="77777777">
        <w:trPr>
          <w:trHeight w:val="558"/>
        </w:trPr>
        <w:tc>
          <w:tcPr>
            <w:tcW w:w="1156" w:type="dxa"/>
            <w:vMerge/>
            <w:tcBorders>
              <w:bottom w:val="single" w:sz="4" w:space="0" w:color="auto"/>
            </w:tcBorders>
          </w:tcPr>
          <w:p w14:paraId="2C10E3B6" w14:textId="77777777" w:rsidR="0068485E" w:rsidRDefault="0068485E">
            <w:pPr>
              <w:rPr>
                <w:b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1EFC75EA" w14:textId="77777777" w:rsidR="0068485E" w:rsidRDefault="0068485E">
            <w:pPr>
              <w:rPr>
                <w:b/>
              </w:rPr>
            </w:pPr>
          </w:p>
          <w:p w14:paraId="56445FB5" w14:textId="77777777" w:rsidR="0068485E" w:rsidRDefault="0068485E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18188A75" w14:textId="77777777" w:rsidR="0068485E" w:rsidRDefault="0068485E">
            <w:pPr>
              <w:rPr>
                <w:b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0846CF8" w14:textId="77777777" w:rsidR="0068485E" w:rsidRDefault="0068485E">
            <w:pPr>
              <w:jc w:val="center"/>
            </w:pPr>
          </w:p>
          <w:p w14:paraId="73551DFD" w14:textId="77777777" w:rsidR="0068485E" w:rsidRDefault="00157499" w:rsidP="00157499">
            <w:pPr>
              <w:jc w:val="center"/>
            </w:pPr>
            <w:r>
              <w:t>2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36C6015" w14:textId="77777777" w:rsidR="0068485E" w:rsidRDefault="0068485E">
            <w:pPr>
              <w:jc w:val="center"/>
            </w:pPr>
          </w:p>
          <w:p w14:paraId="0FAEDDAC" w14:textId="77777777" w:rsidR="0068485E" w:rsidRDefault="00157499" w:rsidP="00157499">
            <w:pPr>
              <w:jc w:val="center"/>
            </w:pPr>
            <w:r>
              <w:t>4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27AD35F" w14:textId="77777777" w:rsidR="0068485E" w:rsidRDefault="0068485E">
            <w:pPr>
              <w:jc w:val="center"/>
            </w:pPr>
          </w:p>
          <w:p w14:paraId="7D0BACB7" w14:textId="77777777" w:rsidR="0068485E" w:rsidRDefault="00157499" w:rsidP="00157499">
            <w:pPr>
              <w:jc w:val="center"/>
            </w:pPr>
            <w:r>
              <w:t>6</w:t>
            </w:r>
          </w:p>
        </w:tc>
      </w:tr>
      <w:tr w:rsidR="0068485E" w14:paraId="5C426765" w14:textId="77777777">
        <w:trPr>
          <w:trHeight w:val="558"/>
        </w:trPr>
        <w:tc>
          <w:tcPr>
            <w:tcW w:w="1156" w:type="dxa"/>
            <w:vMerge/>
            <w:tcBorders>
              <w:bottom w:val="single" w:sz="4" w:space="0" w:color="auto"/>
            </w:tcBorders>
          </w:tcPr>
          <w:p w14:paraId="15EDD6D0" w14:textId="77777777" w:rsidR="0068485E" w:rsidRDefault="0068485E">
            <w:pPr>
              <w:pStyle w:val="Heading1"/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14:paraId="6056B158" w14:textId="77777777" w:rsidR="0068485E" w:rsidRDefault="0068485E">
            <w:pPr>
              <w:pStyle w:val="Heading1"/>
            </w:pPr>
          </w:p>
          <w:p w14:paraId="78DE5741" w14:textId="77777777" w:rsidR="0068485E" w:rsidRDefault="0068485E">
            <w:pPr>
              <w:pStyle w:val="Heading1"/>
            </w:pPr>
            <w:r>
              <w:t>High</w:t>
            </w:r>
          </w:p>
          <w:p w14:paraId="04C65419" w14:textId="77777777" w:rsidR="0068485E" w:rsidRDefault="0068485E"/>
        </w:tc>
        <w:tc>
          <w:tcPr>
            <w:tcW w:w="1174" w:type="dxa"/>
            <w:tcBorders>
              <w:bottom w:val="single" w:sz="4" w:space="0" w:color="auto"/>
            </w:tcBorders>
          </w:tcPr>
          <w:p w14:paraId="479503BF" w14:textId="77777777" w:rsidR="0068485E" w:rsidRDefault="0068485E">
            <w:pPr>
              <w:jc w:val="center"/>
            </w:pPr>
          </w:p>
          <w:p w14:paraId="3ABD86DC" w14:textId="77777777" w:rsidR="0068485E" w:rsidRDefault="00157499" w:rsidP="00157499">
            <w:pPr>
              <w:jc w:val="center"/>
            </w:pPr>
            <w:r>
              <w:t>3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3EB82E9" w14:textId="77777777" w:rsidR="0068485E" w:rsidRDefault="0068485E">
            <w:pPr>
              <w:jc w:val="center"/>
            </w:pPr>
          </w:p>
          <w:p w14:paraId="4D09E814" w14:textId="77777777" w:rsidR="0068485E" w:rsidRDefault="00157499" w:rsidP="00157499">
            <w:pPr>
              <w:jc w:val="center"/>
            </w:pPr>
            <w:r>
              <w:t>6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0193364" w14:textId="77777777" w:rsidR="0068485E" w:rsidRDefault="0068485E">
            <w:pPr>
              <w:jc w:val="center"/>
            </w:pPr>
          </w:p>
          <w:p w14:paraId="31D53AED" w14:textId="77777777" w:rsidR="0068485E" w:rsidRDefault="00157499" w:rsidP="00157499">
            <w:pPr>
              <w:jc w:val="center"/>
            </w:pPr>
            <w:r>
              <w:t>9</w:t>
            </w:r>
          </w:p>
        </w:tc>
      </w:tr>
    </w:tbl>
    <w:p w14:paraId="7A856A99" w14:textId="77777777" w:rsidR="0068485E" w:rsidRDefault="0068485E" w:rsidP="0068485E"/>
    <w:p w14:paraId="6B5778C6" w14:textId="3552807C" w:rsidR="0068485E" w:rsidRDefault="0068485E" w:rsidP="0068485E">
      <w:r>
        <w:t xml:space="preserve">1 </w:t>
      </w:r>
      <w:r w:rsidR="003813CB">
        <w:tab/>
      </w:r>
      <w:r>
        <w:t>–very low risk</w:t>
      </w:r>
    </w:p>
    <w:p w14:paraId="15C13440" w14:textId="3917D3D6" w:rsidR="0068485E" w:rsidRDefault="00157499" w:rsidP="0068485E">
      <w:r>
        <w:t xml:space="preserve">2 </w:t>
      </w:r>
      <w:r w:rsidR="003813CB">
        <w:t>–</w:t>
      </w:r>
      <w:r>
        <w:t xml:space="preserve"> 3</w:t>
      </w:r>
      <w:r w:rsidR="003813CB">
        <w:tab/>
      </w:r>
      <w:r w:rsidR="0068485E">
        <w:t>– low risk</w:t>
      </w:r>
    </w:p>
    <w:p w14:paraId="2FFE3984" w14:textId="7A88EF19" w:rsidR="0068485E" w:rsidRDefault="00157499" w:rsidP="0068485E">
      <w:r>
        <w:t>4 - 6</w:t>
      </w:r>
      <w:r w:rsidR="0068485E">
        <w:t xml:space="preserve"> </w:t>
      </w:r>
      <w:r w:rsidR="003813CB">
        <w:tab/>
      </w:r>
      <w:r w:rsidR="0068485E">
        <w:t>– medium risk</w:t>
      </w:r>
    </w:p>
    <w:p w14:paraId="46F1549E" w14:textId="765388A6" w:rsidR="0068485E" w:rsidRDefault="00157499" w:rsidP="0068485E">
      <w:r>
        <w:t>9</w:t>
      </w:r>
      <w:r w:rsidR="0068485E">
        <w:t xml:space="preserve"> </w:t>
      </w:r>
      <w:r w:rsidR="003813CB">
        <w:tab/>
      </w:r>
      <w:r w:rsidR="0068485E">
        <w:t>– high risk</w:t>
      </w:r>
    </w:p>
    <w:p w14:paraId="33481F2B" w14:textId="77777777" w:rsidR="0068485E" w:rsidRDefault="0068485E" w:rsidP="0068485E"/>
    <w:p w14:paraId="70E0926E" w14:textId="336A6F15" w:rsidR="0068485E" w:rsidRDefault="00183413" w:rsidP="00183413">
      <w:pPr>
        <w:pStyle w:val="Heading1"/>
        <w:keepNext w:val="0"/>
        <w:spacing w:line="280" w:lineRule="atLeast"/>
      </w:pPr>
      <w:r>
        <w:br w:type="page"/>
      </w:r>
      <w:r w:rsidR="0068485E">
        <w:lastRenderedPageBreak/>
        <w:t>Control and mitigation systems</w:t>
      </w:r>
    </w:p>
    <w:p w14:paraId="2A5955BD" w14:textId="7B7AD91B" w:rsidR="00403BBB" w:rsidRDefault="0068485E" w:rsidP="00183413">
      <w:pPr>
        <w:spacing w:line="280" w:lineRule="atLeast"/>
      </w:pPr>
      <w:r>
        <w:t>Once each risk has been identified and scored, consider what action</w:t>
      </w:r>
      <w:r w:rsidR="00650FE2">
        <w:t>(s)</w:t>
      </w:r>
      <w:r>
        <w:t xml:space="preserve"> can be taken to control or mitigate the risk.  </w:t>
      </w:r>
    </w:p>
    <w:p w14:paraId="3ADE03EF" w14:textId="77777777" w:rsidR="00A31AF6" w:rsidRDefault="00A31AF6" w:rsidP="0068485E"/>
    <w:p w14:paraId="5BE319CD" w14:textId="691725D1" w:rsidR="00A31AF6" w:rsidRPr="000847DB" w:rsidRDefault="00A31AF6" w:rsidP="00183413">
      <w:pPr>
        <w:spacing w:line="280" w:lineRule="atLeast"/>
        <w:rPr>
          <w:i/>
        </w:rPr>
      </w:pPr>
      <w:r w:rsidRPr="000847DB">
        <w:rPr>
          <w:i/>
        </w:rPr>
        <w:t>Examples of governance risks and actions</w:t>
      </w:r>
    </w:p>
    <w:p w14:paraId="3261B2DA" w14:textId="1DB16C69" w:rsidR="009328DB" w:rsidRPr="005026FA" w:rsidRDefault="000847DB" w:rsidP="00C27A00">
      <w:pPr>
        <w:pStyle w:val="ListBullet"/>
        <w:numPr>
          <w:ilvl w:val="0"/>
          <w:numId w:val="21"/>
        </w:numPr>
        <w:spacing w:after="60" w:line="280" w:lineRule="atLeast"/>
        <w:ind w:right="-607"/>
        <w:rPr>
          <w:i/>
        </w:rPr>
      </w:pPr>
      <w:r w:rsidRPr="005026FA">
        <w:rPr>
          <w:b/>
        </w:rPr>
        <w:t>Accountability for actions within the partnership are unclear</w:t>
      </w:r>
      <w:r w:rsidR="00572D3B" w:rsidRPr="005026FA">
        <w:rPr>
          <w:b/>
        </w:rPr>
        <w:t xml:space="preserve"> </w:t>
      </w:r>
      <w:r w:rsidR="007709D1">
        <w:rPr>
          <w:b/>
        </w:rPr>
        <w:t xml:space="preserve">- </w:t>
      </w:r>
      <w:r w:rsidR="00572D3B">
        <w:t xml:space="preserve">consider </w:t>
      </w:r>
      <w:r w:rsidR="00572D3B" w:rsidRPr="005026FA">
        <w:rPr>
          <w:b/>
        </w:rPr>
        <w:t xml:space="preserve">partnership discussion </w:t>
      </w:r>
      <w:r w:rsidR="00572D3B">
        <w:t xml:space="preserve">on </w:t>
      </w:r>
      <w:r w:rsidR="009328DB">
        <w:t xml:space="preserve">leadership roles, </w:t>
      </w:r>
      <w:r w:rsidR="00572D3B">
        <w:t>how decisions are made within each organisation</w:t>
      </w:r>
      <w:r w:rsidR="007709D1">
        <w:t>,</w:t>
      </w:r>
      <w:r w:rsidR="00572D3B">
        <w:t xml:space="preserve"> (e.g. can they be made at meetings or do they need to be ratified by a management committee) </w:t>
      </w:r>
      <w:r w:rsidR="009328DB">
        <w:t>etc</w:t>
      </w:r>
      <w:r w:rsidR="007709D1">
        <w:t>.</w:t>
      </w:r>
      <w:r w:rsidR="009328DB">
        <w:t xml:space="preserve"> </w:t>
      </w:r>
      <w:r w:rsidR="00572D3B">
        <w:t xml:space="preserve">and </w:t>
      </w:r>
      <w:r w:rsidR="009328DB">
        <w:t xml:space="preserve">consider writing down in a </w:t>
      </w:r>
      <w:r w:rsidR="009328DB" w:rsidRPr="005026FA">
        <w:rPr>
          <w:b/>
        </w:rPr>
        <w:t>memorandum of understanding</w:t>
      </w:r>
      <w:r w:rsidR="00572D3B">
        <w:t xml:space="preserve"> </w:t>
      </w:r>
    </w:p>
    <w:p w14:paraId="31CB8F9F" w14:textId="6C37F438" w:rsidR="00305827" w:rsidRPr="00D9610D" w:rsidRDefault="00305827" w:rsidP="00C27A00">
      <w:pPr>
        <w:pStyle w:val="ListBullet"/>
        <w:numPr>
          <w:ilvl w:val="0"/>
          <w:numId w:val="21"/>
        </w:numPr>
        <w:spacing w:after="60" w:line="280" w:lineRule="atLeast"/>
        <w:ind w:right="-607"/>
      </w:pPr>
      <w:r w:rsidRPr="005026FA">
        <w:t>Parental take up unknown</w:t>
      </w:r>
      <w:r w:rsidR="00AC52C7">
        <w:t>,</w:t>
      </w:r>
      <w:r>
        <w:t xml:space="preserve"> consider doing a </w:t>
      </w:r>
      <w:r w:rsidRPr="005026FA">
        <w:t>demand survey</w:t>
      </w:r>
    </w:p>
    <w:p w14:paraId="31646964" w14:textId="77777777" w:rsidR="00D9610D" w:rsidRDefault="00D9610D" w:rsidP="00D9610D">
      <w:pPr>
        <w:pStyle w:val="ListParagraph"/>
        <w:ind w:left="360"/>
      </w:pPr>
    </w:p>
    <w:p w14:paraId="79387C3B" w14:textId="7B4F58F6" w:rsidR="005026FA" w:rsidRPr="00305827" w:rsidRDefault="005026FA" w:rsidP="00183413">
      <w:pPr>
        <w:spacing w:line="280" w:lineRule="atLeast"/>
        <w:rPr>
          <w:i/>
        </w:rPr>
      </w:pPr>
      <w:r w:rsidRPr="00305827">
        <w:rPr>
          <w:i/>
        </w:rPr>
        <w:t xml:space="preserve">Examples of </w:t>
      </w:r>
      <w:r>
        <w:rPr>
          <w:i/>
        </w:rPr>
        <w:t xml:space="preserve">service delivery </w:t>
      </w:r>
      <w:r w:rsidRPr="00305827">
        <w:rPr>
          <w:i/>
        </w:rPr>
        <w:t>risks and actions</w:t>
      </w:r>
    </w:p>
    <w:p w14:paraId="5B3AC8DC" w14:textId="77777777" w:rsidR="005026FA" w:rsidRDefault="005026FA" w:rsidP="00D9610D">
      <w:pPr>
        <w:pStyle w:val="ListParagraph"/>
        <w:ind w:left="360"/>
      </w:pPr>
    </w:p>
    <w:p w14:paraId="4924D797" w14:textId="39A10699" w:rsidR="00305827" w:rsidRDefault="00305827" w:rsidP="00C27A00">
      <w:pPr>
        <w:pStyle w:val="ListBullet"/>
        <w:numPr>
          <w:ilvl w:val="0"/>
          <w:numId w:val="22"/>
        </w:numPr>
        <w:spacing w:after="60" w:line="280" w:lineRule="atLeast"/>
        <w:ind w:right="-607"/>
      </w:pPr>
      <w:r w:rsidRPr="005026FA">
        <w:t>Parental response to delivery methods unknown</w:t>
      </w:r>
      <w:r w:rsidR="00AC52C7">
        <w:t>,</w:t>
      </w:r>
      <w:r>
        <w:t xml:space="preserve"> </w:t>
      </w:r>
      <w:r w:rsidR="00D9610D">
        <w:t xml:space="preserve">consider doing a </w:t>
      </w:r>
      <w:r w:rsidR="00D9610D" w:rsidRPr="005026FA">
        <w:t>f</w:t>
      </w:r>
      <w:r w:rsidRPr="005026FA">
        <w:t>ocus group</w:t>
      </w:r>
      <w:r>
        <w:t xml:space="preserve"> with small groups of parents</w:t>
      </w:r>
    </w:p>
    <w:p w14:paraId="3FFA2AF9" w14:textId="1D7B0FAD" w:rsidR="005026FA" w:rsidRDefault="005026FA" w:rsidP="00C27A00">
      <w:pPr>
        <w:pStyle w:val="ListBullet"/>
        <w:numPr>
          <w:ilvl w:val="0"/>
          <w:numId w:val="22"/>
        </w:numPr>
        <w:spacing w:after="60" w:line="280" w:lineRule="atLeast"/>
        <w:ind w:right="-607"/>
      </w:pPr>
      <w:r w:rsidRPr="005026FA">
        <w:rPr>
          <w:b/>
        </w:rPr>
        <w:t>Children transferring between settings</w:t>
      </w:r>
      <w:r>
        <w:t xml:space="preserve"> may be at risk of becoming separated from their key worker – consider children wearing bright coloured, high visibility jackets and having additional members of staff</w:t>
      </w:r>
    </w:p>
    <w:p w14:paraId="1F07D7E0" w14:textId="77777777" w:rsidR="00305827" w:rsidRDefault="00305827" w:rsidP="0068485E"/>
    <w:p w14:paraId="4E86D9A9" w14:textId="7CA5E569" w:rsidR="00A31AF6" w:rsidRPr="00305827" w:rsidRDefault="00A31AF6" w:rsidP="00183413">
      <w:pPr>
        <w:spacing w:line="280" w:lineRule="atLeast"/>
        <w:rPr>
          <w:i/>
        </w:rPr>
      </w:pPr>
      <w:r w:rsidRPr="00305827">
        <w:rPr>
          <w:i/>
        </w:rPr>
        <w:t>Examples of staffing risks and actions</w:t>
      </w:r>
    </w:p>
    <w:p w14:paraId="3E029D20" w14:textId="7186F7F7" w:rsidR="00A31AF6" w:rsidRDefault="00D9610D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t>May not be able to recruit qualified staff to deliver increased capacity</w:t>
      </w:r>
      <w:r w:rsidR="00AC52C7">
        <w:t>,</w:t>
      </w:r>
      <w:r>
        <w:t xml:space="preserve"> consider </w:t>
      </w:r>
      <w:r w:rsidRPr="005026FA">
        <w:t>apprenticeship approach</w:t>
      </w:r>
      <w:r>
        <w:t xml:space="preserve"> with a teaching school partner</w:t>
      </w:r>
    </w:p>
    <w:p w14:paraId="617EC814" w14:textId="61E3BD82" w:rsidR="005A229A" w:rsidRDefault="005A229A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t>Concern that a partner may ‘poach’ a member of staff</w:t>
      </w:r>
      <w:r w:rsidR="00AC52C7">
        <w:t>,</w:t>
      </w:r>
      <w:r>
        <w:t xml:space="preserve"> consider </w:t>
      </w:r>
      <w:r w:rsidR="009328DB" w:rsidRPr="005026FA">
        <w:t>memorandum of understanding</w:t>
      </w:r>
      <w:r w:rsidR="009328DB">
        <w:t xml:space="preserve"> </w:t>
      </w:r>
      <w:r>
        <w:t>that sets out values and ways of working</w:t>
      </w:r>
    </w:p>
    <w:p w14:paraId="42BD31F3" w14:textId="78EA0AF3" w:rsidR="005A229A" w:rsidRDefault="005A229A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rPr>
          <w:b/>
        </w:rPr>
        <w:t>High levels of staff turnover</w:t>
      </w:r>
      <w:r w:rsidR="00AC52C7">
        <w:rPr>
          <w:b/>
        </w:rPr>
        <w:t>,</w:t>
      </w:r>
      <w:r>
        <w:t xml:space="preserve"> consider </w:t>
      </w:r>
      <w:r w:rsidRPr="005026FA">
        <w:rPr>
          <w:b/>
        </w:rPr>
        <w:t>partnership approach</w:t>
      </w:r>
      <w:r>
        <w:t xml:space="preserve"> which enables staff to </w:t>
      </w:r>
      <w:r w:rsidR="00B94669">
        <w:t>work temporarily across providers</w:t>
      </w:r>
    </w:p>
    <w:p w14:paraId="032633A2" w14:textId="77777777" w:rsidR="00EB08A2" w:rsidRDefault="00EB08A2" w:rsidP="0068485E"/>
    <w:p w14:paraId="0552BA9B" w14:textId="662F9E52" w:rsidR="00A31AF6" w:rsidRPr="00D9610D" w:rsidRDefault="00A31AF6" w:rsidP="00183413">
      <w:pPr>
        <w:spacing w:line="280" w:lineRule="atLeast"/>
        <w:rPr>
          <w:i/>
        </w:rPr>
      </w:pPr>
      <w:r w:rsidRPr="00D9610D">
        <w:rPr>
          <w:i/>
        </w:rPr>
        <w:t>Examples of external risks and actions</w:t>
      </w:r>
    </w:p>
    <w:p w14:paraId="0AF17522" w14:textId="45B30D9B" w:rsidR="00305827" w:rsidRPr="00EB08A2" w:rsidRDefault="00BE1BB3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t>Risk that partnership approach may lead to confusion amongst external stakeholders</w:t>
      </w:r>
      <w:r w:rsidR="00AC52C7">
        <w:t>,</w:t>
      </w:r>
      <w:r>
        <w:t xml:space="preserve"> consider identifying </w:t>
      </w:r>
      <w:r w:rsidRPr="005026FA">
        <w:t>key messages</w:t>
      </w:r>
      <w:r>
        <w:t xml:space="preserve"> and agree </w:t>
      </w:r>
      <w:r w:rsidRPr="005026FA">
        <w:t xml:space="preserve">communication strategy </w:t>
      </w:r>
    </w:p>
    <w:p w14:paraId="37CDA840" w14:textId="5346450B" w:rsidR="00BE1BB3" w:rsidRDefault="00BE1BB3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t xml:space="preserve">Ofsted may not understand the </w:t>
      </w:r>
      <w:r w:rsidR="004054C0" w:rsidRPr="005026FA">
        <w:t>partnership approach</w:t>
      </w:r>
      <w:r w:rsidR="00AC52C7">
        <w:t>,</w:t>
      </w:r>
      <w:r w:rsidR="004054C0">
        <w:t xml:space="preserve"> consider how this can be clarified e.g. </w:t>
      </w:r>
      <w:r w:rsidR="004054C0" w:rsidRPr="005026FA">
        <w:t xml:space="preserve">memorandum of understanding, </w:t>
      </w:r>
      <w:r w:rsidR="00AC52C7" w:rsidRPr="005026FA">
        <w:t>self-evaluation</w:t>
      </w:r>
      <w:r w:rsidR="00EB08A2" w:rsidRPr="005026FA">
        <w:t xml:space="preserve">, parent contracts </w:t>
      </w:r>
    </w:p>
    <w:p w14:paraId="20B283E6" w14:textId="77777777" w:rsidR="00EB08A2" w:rsidRDefault="00EB08A2" w:rsidP="0068485E"/>
    <w:p w14:paraId="1F9F3418" w14:textId="3AD52674" w:rsidR="00A31AF6" w:rsidRPr="00D9610D" w:rsidRDefault="00A31AF6" w:rsidP="00183413">
      <w:pPr>
        <w:spacing w:line="280" w:lineRule="atLeast"/>
        <w:rPr>
          <w:i/>
        </w:rPr>
      </w:pPr>
      <w:r w:rsidRPr="00D9610D">
        <w:rPr>
          <w:i/>
        </w:rPr>
        <w:t>Examples of internal risks and actions</w:t>
      </w:r>
    </w:p>
    <w:p w14:paraId="06410D9B" w14:textId="49D3A61D" w:rsidR="00A31AF6" w:rsidRPr="005026FA" w:rsidRDefault="00B94669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 w:rsidRPr="005026FA">
        <w:t>Role / purpose of the partnership unclear</w:t>
      </w:r>
      <w:r w:rsidR="00AC52C7">
        <w:t>,</w:t>
      </w:r>
      <w:r>
        <w:t xml:space="preserve"> consider </w:t>
      </w:r>
      <w:r w:rsidR="009328DB" w:rsidRPr="005026FA">
        <w:t>memorandum of understanding</w:t>
      </w:r>
      <w:r w:rsidR="009328DB">
        <w:t xml:space="preserve"> </w:t>
      </w:r>
      <w:r>
        <w:t>that sets this out</w:t>
      </w:r>
    </w:p>
    <w:p w14:paraId="742BFD1D" w14:textId="77777777" w:rsidR="00D9610D" w:rsidRDefault="00D9610D" w:rsidP="0068485E"/>
    <w:p w14:paraId="725E6FAF" w14:textId="458AD9AA" w:rsidR="0068485E" w:rsidRDefault="0068485E" w:rsidP="00183413">
      <w:pPr>
        <w:spacing w:line="280" w:lineRule="atLeast"/>
      </w:pPr>
      <w:r>
        <w:t>Some questions to ask when considering risk control and mitigation:</w:t>
      </w:r>
    </w:p>
    <w:p w14:paraId="2BEF71CE" w14:textId="171FA123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What are the cost and other resource implications</w:t>
      </w:r>
      <w:r w:rsidR="00650FE2">
        <w:t xml:space="preserve"> of these actions</w:t>
      </w:r>
      <w:r>
        <w:t>?</w:t>
      </w:r>
    </w:p>
    <w:p w14:paraId="1BEDAE99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What are the major risks and what risks can easily be controlled?</w:t>
      </w:r>
    </w:p>
    <w:p w14:paraId="36812C7D" w14:textId="14947F0B" w:rsidR="00650FE2" w:rsidRDefault="00650FE2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What are the overall benefits, to whom and do these outweigh the risks?</w:t>
      </w:r>
    </w:p>
    <w:p w14:paraId="084FF75B" w14:textId="3F9E49C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 xml:space="preserve">Are there any risks that are outside </w:t>
      </w:r>
      <w:r w:rsidR="00650FE2">
        <w:t>our</w:t>
      </w:r>
      <w:r>
        <w:t xml:space="preserve"> control? </w:t>
      </w:r>
    </w:p>
    <w:p w14:paraId="7ED11461" w14:textId="77777777" w:rsidR="0068485E" w:rsidRDefault="0068485E" w:rsidP="00C27A00">
      <w:pPr>
        <w:pStyle w:val="ListBullet"/>
        <w:numPr>
          <w:ilvl w:val="0"/>
          <w:numId w:val="0"/>
        </w:numPr>
        <w:spacing w:after="60" w:line="280" w:lineRule="atLeast"/>
        <w:ind w:left="720" w:right="-607"/>
      </w:pPr>
    </w:p>
    <w:p w14:paraId="3607C187" w14:textId="15344AC1" w:rsidR="0068485E" w:rsidRDefault="00183413" w:rsidP="00183413">
      <w:pPr>
        <w:spacing w:line="280" w:lineRule="atLeast"/>
      </w:pPr>
      <w:r>
        <w:br w:type="page"/>
      </w:r>
      <w:r w:rsidR="0068485E">
        <w:lastRenderedPageBreak/>
        <w:t xml:space="preserve">Factors that </w:t>
      </w:r>
      <w:r w:rsidR="00EB08A2">
        <w:t xml:space="preserve">you may need to </w:t>
      </w:r>
      <w:r w:rsidR="0068485E">
        <w:t>take into account when assessing how risks can be controlled or mitigated include whether</w:t>
      </w:r>
    </w:p>
    <w:p w14:paraId="62982E49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Exposure to the risk can be limited</w:t>
      </w:r>
    </w:p>
    <w:p w14:paraId="033482FC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The risk can be avoided (e.g. by stopping doing the work)</w:t>
      </w:r>
    </w:p>
    <w:p w14:paraId="1091B692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The risk can be transferred to a third party (e.g. to a trading subsidiary, outsourcing)</w:t>
      </w:r>
    </w:p>
    <w:p w14:paraId="4115BB49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The risk can be shared (e.g. by working in partnership)</w:t>
      </w:r>
    </w:p>
    <w:p w14:paraId="79BEAB7E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The risk can be reduced or eliminated (e.g. by establishing or improving control procedures)</w:t>
      </w:r>
    </w:p>
    <w:p w14:paraId="22C60805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 xml:space="preserve">The risk can be insured against </w:t>
      </w:r>
    </w:p>
    <w:p w14:paraId="222E7C6A" w14:textId="77777777" w:rsidR="0068485E" w:rsidRPr="00C27A00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The risk is accepted as being unlikely to occur or if it does occur will have a low impact</w:t>
      </w:r>
    </w:p>
    <w:p w14:paraId="6ED731EB" w14:textId="77777777" w:rsidR="005026FA" w:rsidRPr="00C27A00" w:rsidRDefault="005026FA" w:rsidP="00C27A00">
      <w:pPr>
        <w:pStyle w:val="ListBullet"/>
        <w:numPr>
          <w:ilvl w:val="0"/>
          <w:numId w:val="0"/>
        </w:numPr>
        <w:spacing w:after="60" w:line="280" w:lineRule="atLeast"/>
        <w:ind w:left="720" w:right="-607"/>
      </w:pPr>
    </w:p>
    <w:p w14:paraId="2CFB15C4" w14:textId="77777777" w:rsidR="0068485E" w:rsidRDefault="0068485E" w:rsidP="00183413">
      <w:pPr>
        <w:spacing w:line="280" w:lineRule="atLeast"/>
        <w:rPr>
          <w:b/>
        </w:rPr>
      </w:pPr>
      <w:r>
        <w:rPr>
          <w:b/>
        </w:rPr>
        <w:t>Net risk</w:t>
      </w:r>
    </w:p>
    <w:p w14:paraId="377EBCE5" w14:textId="75FC2750" w:rsidR="0068485E" w:rsidRDefault="0068485E" w:rsidP="00183413">
      <w:pPr>
        <w:spacing w:line="280" w:lineRule="atLeast"/>
      </w:pPr>
      <w:r>
        <w:t xml:space="preserve">Once the nature of the risk and control systems are understood, the net </w:t>
      </w:r>
      <w:r w:rsidR="00D02AB3">
        <w:t xml:space="preserve">or retained </w:t>
      </w:r>
      <w:r>
        <w:t>risk should be assessed</w:t>
      </w:r>
      <w:r w:rsidR="00D02AB3">
        <w:t>.  If this</w:t>
      </w:r>
      <w:r>
        <w:t xml:space="preserve"> is still too high you </w:t>
      </w:r>
      <w:r w:rsidR="00D02AB3">
        <w:t>may need to</w:t>
      </w:r>
      <w:r>
        <w:t xml:space="preserve"> consider your situation</w:t>
      </w:r>
      <w:r w:rsidR="009E653F">
        <w:t xml:space="preserve"> and whether you wish to continue</w:t>
      </w:r>
      <w:r>
        <w:t>.  Some considerations are:</w:t>
      </w:r>
    </w:p>
    <w:p w14:paraId="14217BFB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Can more be done to further reduce risk e.g. by changing something about the activity or approach until the risk is manageable?</w:t>
      </w:r>
    </w:p>
    <w:p w14:paraId="3E1B36F0" w14:textId="0856CDC6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 xml:space="preserve">If the risk cannot be reduced and the activity cannot be changed </w:t>
      </w:r>
      <w:r w:rsidR="009E653F">
        <w:t xml:space="preserve">you may wish to </w:t>
      </w:r>
      <w:r>
        <w:t>consider abandoning the activity</w:t>
      </w:r>
      <w:r w:rsidR="00DA1FA0">
        <w:t xml:space="preserve"> – in </w:t>
      </w:r>
      <w:r>
        <w:t>doing so</w:t>
      </w:r>
      <w:r w:rsidR="007709D1">
        <w:t>,</w:t>
      </w:r>
      <w:r>
        <w:t xml:space="preserve"> </w:t>
      </w:r>
      <w:r w:rsidR="00DA1FA0">
        <w:t xml:space="preserve">individual </w:t>
      </w:r>
      <w:r>
        <w:t>organisation</w:t>
      </w:r>
      <w:r w:rsidR="00DA1FA0">
        <w:t>s and/or the partnership as a whole</w:t>
      </w:r>
      <w:r>
        <w:t xml:space="preserve"> should consider the</w:t>
      </w:r>
      <w:r w:rsidR="00DA1FA0">
        <w:t xml:space="preserve"> benefits of the activity and the</w:t>
      </w:r>
      <w:r>
        <w:t xml:space="preserve"> risks of NOT taking the activity forward</w:t>
      </w:r>
    </w:p>
    <w:p w14:paraId="464FB239" w14:textId="77777777" w:rsidR="009E653F" w:rsidRDefault="009E653F" w:rsidP="00C27A00">
      <w:pPr>
        <w:pStyle w:val="ListBullet"/>
        <w:numPr>
          <w:ilvl w:val="0"/>
          <w:numId w:val="0"/>
        </w:numPr>
        <w:spacing w:after="60" w:line="280" w:lineRule="atLeast"/>
        <w:ind w:left="720" w:right="-607"/>
      </w:pPr>
    </w:p>
    <w:p w14:paraId="75409F1C" w14:textId="77777777" w:rsidR="0068485E" w:rsidRDefault="0068485E" w:rsidP="00183413">
      <w:pPr>
        <w:spacing w:line="280" w:lineRule="atLeast"/>
        <w:rPr>
          <w:b/>
        </w:rPr>
      </w:pPr>
      <w:bookmarkStart w:id="0" w:name="_GoBack"/>
      <w:bookmarkEnd w:id="0"/>
      <w:r>
        <w:rPr>
          <w:b/>
        </w:rPr>
        <w:t>Monitoring systems</w:t>
      </w:r>
    </w:p>
    <w:p w14:paraId="4B24EB09" w14:textId="7DCF9A5D" w:rsidR="0068485E" w:rsidRDefault="00DA1FA0" w:rsidP="00183413">
      <w:pPr>
        <w:spacing w:line="280" w:lineRule="atLeast"/>
      </w:pPr>
      <w:r>
        <w:t xml:space="preserve">Having identified the risks, it is important that </w:t>
      </w:r>
      <w:r w:rsidR="005703E8">
        <w:t xml:space="preserve">the partnership and individual organisations put </w:t>
      </w:r>
      <w:r w:rsidR="0068485E">
        <w:t xml:space="preserve">systems in place to </w:t>
      </w:r>
      <w:r w:rsidR="005703E8">
        <w:t xml:space="preserve">monitor the </w:t>
      </w:r>
      <w:r w:rsidR="0068485E">
        <w:t>risks.  Some considerations are:</w:t>
      </w:r>
    </w:p>
    <w:p w14:paraId="1FAEE036" w14:textId="1E93D443" w:rsidR="0068485E" w:rsidRDefault="00B03B03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Reviewing</w:t>
      </w:r>
      <w:r w:rsidR="0068485E">
        <w:t xml:space="preserve"> control systems to identify whether they are working and if the risk is still there</w:t>
      </w:r>
      <w:r w:rsidR="007709D1">
        <w:t>,</w:t>
      </w:r>
      <w:r w:rsidR="0068485E">
        <w:t xml:space="preserve"> and how great it is (is it increasing or decreasing?)</w:t>
      </w:r>
    </w:p>
    <w:p w14:paraId="12DC3463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Identifying individuals who have responsibility for specific risk identification, assessment, management, control and monitoring</w:t>
      </w:r>
    </w:p>
    <w:p w14:paraId="39866529" w14:textId="5E39C865" w:rsidR="0068485E" w:rsidRDefault="009E653F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Reviewing risks</w:t>
      </w:r>
      <w:r w:rsidR="00B03B03">
        <w:t xml:space="preserve"> </w:t>
      </w:r>
      <w:r>
        <w:t xml:space="preserve">– particularly those that have been identified as high risk </w:t>
      </w:r>
      <w:r w:rsidR="00B03B03">
        <w:t>- on a regular basis</w:t>
      </w:r>
    </w:p>
    <w:p w14:paraId="73E3AC36" w14:textId="77777777" w:rsidR="0068485E" w:rsidRDefault="0068485E" w:rsidP="00C27A00">
      <w:pPr>
        <w:pStyle w:val="ListBullet"/>
        <w:numPr>
          <w:ilvl w:val="0"/>
          <w:numId w:val="23"/>
        </w:numPr>
        <w:spacing w:after="60" w:line="280" w:lineRule="atLeast"/>
        <w:ind w:right="-607"/>
      </w:pPr>
      <w:r>
        <w:t>Undertaking an annual review of external factors and circumstances that may affect risk analysis</w:t>
      </w:r>
    </w:p>
    <w:p w14:paraId="0052770D" w14:textId="77777777" w:rsidR="0068485E" w:rsidRDefault="0068485E" w:rsidP="00C27A00">
      <w:pPr>
        <w:pStyle w:val="ListBullet"/>
        <w:numPr>
          <w:ilvl w:val="0"/>
          <w:numId w:val="0"/>
        </w:numPr>
        <w:spacing w:after="60" w:line="280" w:lineRule="atLeast"/>
        <w:ind w:left="720" w:right="-607"/>
      </w:pPr>
    </w:p>
    <w:p w14:paraId="76ADE2B2" w14:textId="77777777" w:rsidR="0068485E" w:rsidRDefault="0068485E" w:rsidP="0068485E"/>
    <w:p w14:paraId="07DEB09E" w14:textId="77777777" w:rsidR="009E653F" w:rsidRDefault="009E653F"/>
    <w:sectPr w:rsidR="009E653F" w:rsidSect="00183413"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7A63" w14:textId="77777777" w:rsidR="007C195D" w:rsidRDefault="007C195D" w:rsidP="00183413">
      <w:r>
        <w:separator/>
      </w:r>
    </w:p>
  </w:endnote>
  <w:endnote w:type="continuationSeparator" w:id="0">
    <w:p w14:paraId="6A2B31B7" w14:textId="77777777" w:rsidR="007C195D" w:rsidRDefault="007C195D" w:rsidP="0018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33B6" w14:textId="77777777" w:rsidR="00183413" w:rsidRDefault="00183413" w:rsidP="00623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BD099B" w14:textId="77777777" w:rsidR="00183413" w:rsidRDefault="00183413" w:rsidP="001834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CA2C" w14:textId="199E44CC" w:rsidR="00183413" w:rsidRDefault="00183413" w:rsidP="00623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9D1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6592D3" w14:textId="77777777" w:rsidR="00183413" w:rsidRDefault="00183413" w:rsidP="001834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0EF20" w14:textId="77777777" w:rsidR="007C195D" w:rsidRDefault="007C195D" w:rsidP="00183413">
      <w:r>
        <w:separator/>
      </w:r>
    </w:p>
  </w:footnote>
  <w:footnote w:type="continuationSeparator" w:id="0">
    <w:p w14:paraId="1FF3F430" w14:textId="77777777" w:rsidR="007C195D" w:rsidRDefault="007C195D" w:rsidP="0018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DFC35" w14:textId="77777777" w:rsidR="00183413" w:rsidRDefault="00183413" w:rsidP="00183413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18F16329" wp14:editId="44B8F644">
          <wp:simplePos x="0" y="0"/>
          <wp:positionH relativeFrom="page">
            <wp:posOffset>323850</wp:posOffset>
          </wp:positionH>
          <wp:positionV relativeFrom="page">
            <wp:posOffset>657225</wp:posOffset>
          </wp:positionV>
          <wp:extent cx="2132965" cy="457200"/>
          <wp:effectExtent l="0" t="0" r="635" b="0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t="1" b="22580"/>
                  <a:stretch/>
                </pic:blipFill>
                <pic:spPr bwMode="auto">
                  <a:xfrm>
                    <a:off x="0" y="0"/>
                    <a:ext cx="2132965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65CF3F1D" wp14:editId="5AB51FDD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831BAF" w14:textId="77777777" w:rsidR="00183413" w:rsidRDefault="00183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0A6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B3963"/>
    <w:multiLevelType w:val="hybridMultilevel"/>
    <w:tmpl w:val="91DE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1FA4"/>
    <w:multiLevelType w:val="multilevel"/>
    <w:tmpl w:val="2564D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411E"/>
    <w:multiLevelType w:val="multilevel"/>
    <w:tmpl w:val="A2762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438D"/>
    <w:multiLevelType w:val="hybridMultilevel"/>
    <w:tmpl w:val="8D3C9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144"/>
    <w:multiLevelType w:val="hybridMultilevel"/>
    <w:tmpl w:val="5328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336D5"/>
    <w:multiLevelType w:val="multilevel"/>
    <w:tmpl w:val="EC7611C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E5926"/>
    <w:multiLevelType w:val="singleLevel"/>
    <w:tmpl w:val="D9927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1C5719"/>
    <w:multiLevelType w:val="multilevel"/>
    <w:tmpl w:val="4D645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82146"/>
    <w:multiLevelType w:val="hybridMultilevel"/>
    <w:tmpl w:val="6E424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D0586"/>
    <w:multiLevelType w:val="hybridMultilevel"/>
    <w:tmpl w:val="1CBEF16C"/>
    <w:lvl w:ilvl="0" w:tplc="9B86F69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221EF"/>
    <w:multiLevelType w:val="hybridMultilevel"/>
    <w:tmpl w:val="FD822562"/>
    <w:lvl w:ilvl="0" w:tplc="804A085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44797"/>
    <w:multiLevelType w:val="hybridMultilevel"/>
    <w:tmpl w:val="4C26CB86"/>
    <w:lvl w:ilvl="0" w:tplc="9B86F69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3597F"/>
    <w:multiLevelType w:val="hybridMultilevel"/>
    <w:tmpl w:val="6652BC60"/>
    <w:lvl w:ilvl="0" w:tplc="9B86F69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416AD"/>
    <w:multiLevelType w:val="hybridMultilevel"/>
    <w:tmpl w:val="3D0A3892"/>
    <w:lvl w:ilvl="0" w:tplc="FD7AB61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84F4A"/>
    <w:multiLevelType w:val="hybridMultilevel"/>
    <w:tmpl w:val="B3AE87FE"/>
    <w:lvl w:ilvl="0" w:tplc="FD7AB61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D3144"/>
    <w:multiLevelType w:val="multilevel"/>
    <w:tmpl w:val="3D0A38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E07BB"/>
    <w:multiLevelType w:val="multilevel"/>
    <w:tmpl w:val="6E4247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A5875"/>
    <w:multiLevelType w:val="hybridMultilevel"/>
    <w:tmpl w:val="9A7874EC"/>
    <w:lvl w:ilvl="0" w:tplc="9B86F69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45B13"/>
    <w:multiLevelType w:val="hybridMultilevel"/>
    <w:tmpl w:val="6AC6B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053C5"/>
    <w:multiLevelType w:val="hybridMultilevel"/>
    <w:tmpl w:val="E1C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F0E63"/>
    <w:multiLevelType w:val="hybridMultilevel"/>
    <w:tmpl w:val="1B68A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D3377"/>
    <w:multiLevelType w:val="hybridMultilevel"/>
    <w:tmpl w:val="4F5C0970"/>
    <w:lvl w:ilvl="0" w:tplc="9B86F69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12"/>
  </w:num>
  <w:num w:numId="9">
    <w:abstractNumId w:val="13"/>
  </w:num>
  <w:num w:numId="10">
    <w:abstractNumId w:val="22"/>
  </w:num>
  <w:num w:numId="11">
    <w:abstractNumId w:val="18"/>
  </w:num>
  <w:num w:numId="12">
    <w:abstractNumId w:val="10"/>
  </w:num>
  <w:num w:numId="13">
    <w:abstractNumId w:val="0"/>
  </w:num>
  <w:num w:numId="14">
    <w:abstractNumId w:val="15"/>
  </w:num>
  <w:num w:numId="15">
    <w:abstractNumId w:val="6"/>
  </w:num>
  <w:num w:numId="16">
    <w:abstractNumId w:val="14"/>
  </w:num>
  <w:num w:numId="17">
    <w:abstractNumId w:val="16"/>
  </w:num>
  <w:num w:numId="18">
    <w:abstractNumId w:val="4"/>
  </w:num>
  <w:num w:numId="19">
    <w:abstractNumId w:val="20"/>
  </w:num>
  <w:num w:numId="20">
    <w:abstractNumId w:val="21"/>
  </w:num>
  <w:num w:numId="21">
    <w:abstractNumId w:val="1"/>
  </w:num>
  <w:num w:numId="22">
    <w:abstractNumId w:val="19"/>
  </w:num>
  <w:num w:numId="23">
    <w:abstractNumId w:val="5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5E"/>
    <w:rsid w:val="000847DB"/>
    <w:rsid w:val="00157499"/>
    <w:rsid w:val="0016486F"/>
    <w:rsid w:val="00183413"/>
    <w:rsid w:val="001C24A2"/>
    <w:rsid w:val="00305827"/>
    <w:rsid w:val="00335900"/>
    <w:rsid w:val="003813CB"/>
    <w:rsid w:val="00403BBB"/>
    <w:rsid w:val="004054C0"/>
    <w:rsid w:val="00482C46"/>
    <w:rsid w:val="004C036B"/>
    <w:rsid w:val="005026FA"/>
    <w:rsid w:val="005703E8"/>
    <w:rsid w:val="00572D3B"/>
    <w:rsid w:val="005A229A"/>
    <w:rsid w:val="005A699F"/>
    <w:rsid w:val="006177CC"/>
    <w:rsid w:val="00650FE2"/>
    <w:rsid w:val="0068485E"/>
    <w:rsid w:val="006E72B9"/>
    <w:rsid w:val="006F38B9"/>
    <w:rsid w:val="007709D1"/>
    <w:rsid w:val="007C195D"/>
    <w:rsid w:val="00843786"/>
    <w:rsid w:val="00851894"/>
    <w:rsid w:val="00862D1D"/>
    <w:rsid w:val="008950DC"/>
    <w:rsid w:val="0090204E"/>
    <w:rsid w:val="009328DB"/>
    <w:rsid w:val="00983074"/>
    <w:rsid w:val="009C1FB4"/>
    <w:rsid w:val="009D53F9"/>
    <w:rsid w:val="009E653F"/>
    <w:rsid w:val="00A30CA2"/>
    <w:rsid w:val="00A31AF6"/>
    <w:rsid w:val="00AC52C7"/>
    <w:rsid w:val="00B03B03"/>
    <w:rsid w:val="00B529D2"/>
    <w:rsid w:val="00B94669"/>
    <w:rsid w:val="00BE1BB3"/>
    <w:rsid w:val="00C27A00"/>
    <w:rsid w:val="00D02AB3"/>
    <w:rsid w:val="00D9610D"/>
    <w:rsid w:val="00DA1FA0"/>
    <w:rsid w:val="00E37F5F"/>
    <w:rsid w:val="00EB08A2"/>
    <w:rsid w:val="00F63C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4A9A4D2"/>
  <w15:docId w15:val="{15F0970D-B23E-4F62-94D2-84609432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CE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8485E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85E"/>
    <w:rPr>
      <w:rFonts w:ascii="Arial" w:eastAsia="Times New Roman" w:hAnsi="Arial" w:cs="Times New Roman"/>
      <w:b/>
      <w:sz w:val="22"/>
    </w:rPr>
  </w:style>
  <w:style w:type="paragraph" w:styleId="ListParagraph">
    <w:name w:val="List Paragraph"/>
    <w:basedOn w:val="Normal"/>
    <w:uiPriority w:val="34"/>
    <w:qFormat/>
    <w:rsid w:val="0068485E"/>
    <w:pPr>
      <w:ind w:left="720"/>
      <w:contextualSpacing/>
    </w:pPr>
  </w:style>
  <w:style w:type="table" w:styleId="TableGrid">
    <w:name w:val="Table Grid"/>
    <w:basedOn w:val="TableNormal"/>
    <w:uiPriority w:val="59"/>
    <w:rsid w:val="00A3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5026FA"/>
    <w:pPr>
      <w:numPr>
        <w:numId w:val="1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6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F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413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413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83413"/>
  </w:style>
  <w:style w:type="character" w:styleId="Hyperlink">
    <w:name w:val="Hyperlink"/>
    <w:basedOn w:val="DefaultParagraphFont"/>
    <w:uiPriority w:val="99"/>
    <w:unhideWhenUsed/>
    <w:rsid w:val="009020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7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sites/default/files/What%20is%20a%20blended%20model%20and%20why%20take%20this%20approach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milyandchildcaretrust.org/relationship-management-toolk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DCCCCDA4</Template>
  <TotalTime>26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William Tucker</cp:lastModifiedBy>
  <cp:revision>9</cp:revision>
  <dcterms:created xsi:type="dcterms:W3CDTF">2016-11-07T12:19:00Z</dcterms:created>
  <dcterms:modified xsi:type="dcterms:W3CDTF">2016-11-24T11:38:00Z</dcterms:modified>
</cp:coreProperties>
</file>