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activeX/activeX80.xml" ContentType="application/vnd.ms-office.activeX+xml"/>
  <Override PartName="/word/activeX/activeX81.xml" ContentType="application/vnd.ms-office.activeX+xml"/>
  <Override PartName="/word/activeX/activeX82.xml" ContentType="application/vnd.ms-office.activeX+xml"/>
  <Override PartName="/word/activeX/activeX83.xml" ContentType="application/vnd.ms-office.activeX+xml"/>
  <Override PartName="/word/activeX/activeX84.xml" ContentType="application/vnd.ms-office.activeX+xml"/>
  <Override PartName="/word/activeX/activeX85.xml" ContentType="application/vnd.ms-office.activeX+xml"/>
  <Override PartName="/word/activeX/activeX86.xml" ContentType="application/vnd.ms-office.activeX+xml"/>
  <Override PartName="/word/activeX/activeX87.xml" ContentType="application/vnd.ms-office.activeX+xml"/>
  <Override PartName="/word/activeX/activeX88.xml" ContentType="application/vnd.ms-office.activeX+xml"/>
  <Override PartName="/word/activeX/activeX89.xml" ContentType="application/vnd.ms-office.activeX+xml"/>
  <Override PartName="/word/activeX/activeX90.xml" ContentType="application/vnd.ms-office.activeX+xml"/>
  <Override PartName="/word/activeX/activeX91.xml" ContentType="application/vnd.ms-office.activeX+xml"/>
  <Override PartName="/word/activeX/activeX92.xml" ContentType="application/vnd.ms-office.activeX+xml"/>
  <Override PartName="/word/activeX/activeX93.xml" ContentType="application/vnd.ms-office.activeX+xml"/>
  <Override PartName="/word/activeX/activeX94.xml" ContentType="application/vnd.ms-office.activeX+xml"/>
  <Override PartName="/word/activeX/activeX95.xml" ContentType="application/vnd.ms-office.activeX+xml"/>
  <Override PartName="/word/activeX/activeX96.xml" ContentType="application/vnd.ms-office.activeX+xml"/>
  <Override PartName="/word/activeX/activeX97.xml" ContentType="application/vnd.ms-office.activeX+xml"/>
  <Override PartName="/word/activeX/activeX98.xml" ContentType="application/vnd.ms-office.activeX+xml"/>
  <Override PartName="/word/activeX/activeX99.xml" ContentType="application/vnd.ms-office.activeX+xml"/>
  <Override PartName="/word/activeX/activeX100.xml" ContentType="application/vnd.ms-office.activeX+xml"/>
  <Override PartName="/word/activeX/activeX101.xml" ContentType="application/vnd.ms-office.activeX+xml"/>
  <Override PartName="/word/activeX/activeX102.xml" ContentType="application/vnd.ms-office.activeX+xml"/>
  <Override PartName="/word/activeX/activeX103.xml" ContentType="application/vnd.ms-office.activeX+xml"/>
  <Override PartName="/word/activeX/activeX104.xml" ContentType="application/vnd.ms-office.activeX+xml"/>
  <Override PartName="/word/activeX/activeX105.xml" ContentType="application/vnd.ms-office.activeX+xml"/>
  <Override PartName="/word/activeX/activeX106.xml" ContentType="application/vnd.ms-office.activeX+xml"/>
  <Override PartName="/word/activeX/activeX107.xml" ContentType="application/vnd.ms-office.activeX+xml"/>
  <Override PartName="/word/activeX/activeX108.xml" ContentType="application/vnd.ms-office.activeX+xml"/>
  <Override PartName="/word/activeX/activeX109.xml" ContentType="application/vnd.ms-office.activeX+xml"/>
  <Override PartName="/word/activeX/activeX110.xml" ContentType="application/vnd.ms-office.activeX+xml"/>
  <Override PartName="/word/activeX/activeX111.xml" ContentType="application/vnd.ms-office.activeX+xml"/>
  <Override PartName="/word/activeX/activeX112.xml" ContentType="application/vnd.ms-office.activeX+xml"/>
  <Override PartName="/word/activeX/activeX113.xml" ContentType="application/vnd.ms-office.activeX+xml"/>
  <Override PartName="/word/activeX/activeX114.xml" ContentType="application/vnd.ms-office.activeX+xml"/>
  <Override PartName="/word/activeX/activeX115.xml" ContentType="application/vnd.ms-office.activeX+xml"/>
  <Override PartName="/word/activeX/activeX116.xml" ContentType="application/vnd.ms-office.activeX+xml"/>
  <Override PartName="/word/activeX/activeX117.xml" ContentType="application/vnd.ms-office.activeX+xml"/>
  <Override PartName="/word/activeX/activeX118.xml" ContentType="application/vnd.ms-office.activeX+xml"/>
  <Override PartName="/word/activeX/activeX119.xml" ContentType="application/vnd.ms-office.activeX+xml"/>
  <Override PartName="/word/activeX/activeX120.xml" ContentType="application/vnd.ms-office.activeX+xml"/>
  <Override PartName="/word/activeX/activeX121.xml" ContentType="application/vnd.ms-office.activeX+xml"/>
  <Override PartName="/word/activeX/activeX122.xml" ContentType="application/vnd.ms-office.activeX+xml"/>
  <Override PartName="/word/activeX/activeX123.xml" ContentType="application/vnd.ms-office.activeX+xml"/>
  <Override PartName="/word/activeX/activeX124.xml" ContentType="application/vnd.ms-office.activeX+xml"/>
  <Override PartName="/word/activeX/activeX125.xml" ContentType="application/vnd.ms-office.activeX+xml"/>
  <Override PartName="/word/activeX/activeX126.xml" ContentType="application/vnd.ms-office.activeX+xml"/>
  <Override PartName="/word/activeX/activeX127.xml" ContentType="application/vnd.ms-office.activeX+xml"/>
  <Override PartName="/word/activeX/activeX128.xml" ContentType="application/vnd.ms-office.activeX+xml"/>
  <Override PartName="/word/activeX/activeX129.xml" ContentType="application/vnd.ms-office.activeX+xml"/>
  <Override PartName="/word/activeX/activeX130.xml" ContentType="application/vnd.ms-office.activeX+xml"/>
  <Override PartName="/word/activeX/activeX131.xml" ContentType="application/vnd.ms-office.activeX+xml"/>
  <Override PartName="/word/activeX/activeX132.xml" ContentType="application/vnd.ms-office.activeX+xml"/>
  <Override PartName="/word/activeX/activeX133.xml" ContentType="application/vnd.ms-office.activeX+xml"/>
  <Override PartName="/word/activeX/activeX134.xml" ContentType="application/vnd.ms-office.activeX+xml"/>
  <Override PartName="/word/activeX/activeX135.xml" ContentType="application/vnd.ms-office.activeX+xml"/>
  <Override PartName="/word/activeX/activeX136.xml" ContentType="application/vnd.ms-office.activeX+xml"/>
  <Override PartName="/word/activeX/activeX137.xml" ContentType="application/vnd.ms-office.activeX+xml"/>
  <Override PartName="/word/activeX/activeX138.xml" ContentType="application/vnd.ms-office.activeX+xml"/>
  <Override PartName="/word/activeX/activeX139.xml" ContentType="application/vnd.ms-office.activeX+xml"/>
  <Override PartName="/word/activeX/activeX140.xml" ContentType="application/vnd.ms-office.activeX+xml"/>
  <Override PartName="/word/activeX/activeX141.xml" ContentType="application/vnd.ms-office.activeX+xml"/>
  <Override PartName="/word/activeX/activeX142.xml" ContentType="application/vnd.ms-office.activeX+xml"/>
  <Override PartName="/word/activeX/activeX143.xml" ContentType="application/vnd.ms-office.activeX+xml"/>
  <Override PartName="/word/activeX/activeX144.xml" ContentType="application/vnd.ms-office.activeX+xml"/>
  <Override PartName="/word/activeX/activeX145.xml" ContentType="application/vnd.ms-office.activeX+xml"/>
  <Override PartName="/word/activeX/activeX146.xml" ContentType="application/vnd.ms-office.activeX+xml"/>
  <Override PartName="/word/activeX/activeX147.xml" ContentType="application/vnd.ms-office.activeX+xml"/>
  <Override PartName="/word/activeX/activeX148.xml" ContentType="application/vnd.ms-office.activeX+xml"/>
  <Override PartName="/word/activeX/activeX149.xml" ContentType="application/vnd.ms-office.activeX+xml"/>
  <Override PartName="/word/activeX/activeX150.xml" ContentType="application/vnd.ms-office.activeX+xml"/>
  <Override PartName="/word/activeX/activeX151.xml" ContentType="application/vnd.ms-office.activeX+xml"/>
  <Override PartName="/word/activeX/activeX152.xml" ContentType="application/vnd.ms-office.activeX+xml"/>
  <Override PartName="/word/activeX/activeX153.xml" ContentType="application/vnd.ms-office.activeX+xml"/>
  <Override PartName="/word/activeX/activeX154.xml" ContentType="application/vnd.ms-office.activeX+xml"/>
  <Override PartName="/word/activeX/activeX155.xml" ContentType="application/vnd.ms-office.activeX+xml"/>
  <Override PartName="/word/activeX/activeX156.xml" ContentType="application/vnd.ms-office.activeX+xml"/>
  <Override PartName="/word/activeX/activeX157.xml" ContentType="application/vnd.ms-office.activeX+xml"/>
  <Override PartName="/word/activeX/activeX158.xml" ContentType="application/vnd.ms-office.activeX+xml"/>
  <Override PartName="/word/activeX/activeX159.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39ED" w:rsidRPr="00944CAE" w:rsidRDefault="007439ED" w:rsidP="007439ED">
      <w:pPr>
        <w:rPr>
          <w:rFonts w:ascii="Arial" w:hAnsi="Arial" w:cs="Arial"/>
          <w:b/>
          <w:bCs/>
        </w:rPr>
      </w:pPr>
      <w:bookmarkStart w:id="0" w:name="_GoBack"/>
      <w:bookmarkEnd w:id="0"/>
      <w:r w:rsidRPr="00944CAE">
        <w:rPr>
          <w:rFonts w:ascii="Arial" w:hAnsi="Arial" w:cs="Arial"/>
          <w:b/>
          <w:bCs/>
        </w:rPr>
        <w:t>9</w:t>
      </w:r>
      <w:r w:rsidR="00043B31" w:rsidRPr="00944CAE">
        <w:rPr>
          <w:rFonts w:ascii="Arial" w:hAnsi="Arial" w:cs="Arial"/>
          <w:b/>
          <w:bCs/>
        </w:rPr>
        <w:t xml:space="preserve"> </w:t>
      </w:r>
      <w:r w:rsidRPr="00944CAE">
        <w:rPr>
          <w:rFonts w:ascii="Arial" w:hAnsi="Arial" w:cs="Arial"/>
          <w:b/>
        </w:rPr>
        <w:t>Should there be an early years national funding formula (to distribute money from Government to each local authority)?</w:t>
      </w:r>
    </w:p>
    <w:p w:rsidR="007439ED" w:rsidRPr="00944CAE" w:rsidRDefault="007439ED" w:rsidP="007439ED">
      <w:pPr>
        <w:rPr>
          <w:rFonts w:ascii="Arial" w:hAnsi="Arial" w:cs="Arial"/>
        </w:rPr>
      </w:pPr>
      <w:r w:rsidRPr="00944CAE">
        <w:rPr>
          <w:rFonts w:ascii="Arial" w:hAnsi="Arial" w:cs="Arial"/>
        </w:rPr>
        <w:object w:dxaOrig="1440" w:dyaOrig="1440" w14:anchorId="6610AD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94" type="#_x0000_t75" style="width:20.1pt;height:17.6pt" o:ole="">
            <v:imagedata r:id="rId8" o:title=""/>
          </v:shape>
          <w:control r:id="rId9" w:name="DefaultOcxName30" w:shapeid="_x0000_i1194"/>
        </w:object>
      </w:r>
      <w:r w:rsidRPr="00944CAE">
        <w:rPr>
          <w:rFonts w:ascii="Arial" w:hAnsi="Arial" w:cs="Arial"/>
        </w:rPr>
        <w:t>Yes </w:t>
      </w:r>
      <w:r w:rsidRPr="00944CAE">
        <w:rPr>
          <w:rFonts w:ascii="Arial" w:hAnsi="Arial" w:cs="Arial"/>
        </w:rPr>
        <w:br/>
      </w:r>
      <w:r w:rsidRPr="00944CAE">
        <w:rPr>
          <w:rFonts w:ascii="Arial" w:hAnsi="Arial" w:cs="Arial"/>
        </w:rPr>
        <w:object w:dxaOrig="1440" w:dyaOrig="1440" w14:anchorId="6E4B0773">
          <v:shape id="_x0000_i1197" type="#_x0000_t75" style="width:20.1pt;height:17.6pt" o:ole="">
            <v:imagedata r:id="rId10" o:title=""/>
          </v:shape>
          <w:control r:id="rId11" w:name="DefaultOcxName115" w:shapeid="_x0000_i1197"/>
        </w:object>
      </w:r>
      <w:r w:rsidRPr="00944CAE">
        <w:rPr>
          <w:rFonts w:ascii="Arial" w:hAnsi="Arial" w:cs="Arial"/>
        </w:rPr>
        <w:t>No </w:t>
      </w:r>
      <w:r w:rsidRPr="00944CAE">
        <w:rPr>
          <w:rFonts w:ascii="Arial" w:hAnsi="Arial" w:cs="Arial"/>
        </w:rPr>
        <w:br/>
      </w:r>
      <w:r w:rsidRPr="00944CAE">
        <w:rPr>
          <w:rFonts w:ascii="Arial" w:hAnsi="Arial" w:cs="Arial"/>
        </w:rPr>
        <w:object w:dxaOrig="1440" w:dyaOrig="1440" w14:anchorId="51408697">
          <v:shape id="_x0000_i1200" type="#_x0000_t75" style="width:20.1pt;height:17.6pt" o:ole="">
            <v:imagedata r:id="rId10" o:title=""/>
          </v:shape>
          <w:control r:id="rId12" w:name="DefaultOcxName210" w:shapeid="_x0000_i1200"/>
        </w:object>
      </w:r>
      <w:r w:rsidRPr="00944CAE">
        <w:rPr>
          <w:rFonts w:ascii="Arial" w:hAnsi="Arial" w:cs="Arial"/>
        </w:rPr>
        <w:t>Unsure </w:t>
      </w:r>
      <w:r w:rsidRPr="00944CAE">
        <w:rPr>
          <w:rFonts w:ascii="Arial" w:hAnsi="Arial" w:cs="Arial"/>
        </w:rPr>
        <w:br/>
      </w:r>
    </w:p>
    <w:p w:rsidR="007439ED" w:rsidRPr="00944CAE" w:rsidRDefault="007439ED" w:rsidP="007439ED">
      <w:pPr>
        <w:rPr>
          <w:rFonts w:ascii="Arial" w:hAnsi="Arial" w:cs="Arial"/>
          <w:b/>
        </w:rPr>
      </w:pPr>
      <w:r w:rsidRPr="00944CAE">
        <w:rPr>
          <w:rFonts w:ascii="Arial" w:hAnsi="Arial" w:cs="Arial"/>
          <w:b/>
          <w:bCs/>
        </w:rPr>
        <w:t>10</w:t>
      </w:r>
      <w:r w:rsidR="00043B31" w:rsidRPr="00944CAE">
        <w:rPr>
          <w:rFonts w:ascii="Arial" w:hAnsi="Arial" w:cs="Arial"/>
          <w:b/>
          <w:bCs/>
        </w:rPr>
        <w:t xml:space="preserve"> </w:t>
      </w:r>
      <w:r w:rsidRPr="00944CAE">
        <w:rPr>
          <w:rFonts w:ascii="Arial" w:hAnsi="Arial" w:cs="Arial"/>
          <w:b/>
        </w:rPr>
        <w:t>Considering a universal base rate of funding which does not vary by local area...</w:t>
      </w:r>
    </w:p>
    <w:p w:rsidR="007439ED" w:rsidRPr="00944CAE" w:rsidRDefault="007439ED" w:rsidP="007439ED">
      <w:pPr>
        <w:rPr>
          <w:rFonts w:ascii="Arial" w:hAnsi="Arial" w:cs="Arial"/>
          <w:b/>
        </w:rPr>
      </w:pPr>
    </w:p>
    <w:tbl>
      <w:tblPr>
        <w:tblW w:w="8996" w:type="dxa"/>
        <w:tblCellMar>
          <w:top w:w="15" w:type="dxa"/>
          <w:left w:w="15" w:type="dxa"/>
          <w:bottom w:w="15" w:type="dxa"/>
          <w:right w:w="15" w:type="dxa"/>
        </w:tblCellMar>
        <w:tblLook w:val="04A0" w:firstRow="1" w:lastRow="0" w:firstColumn="1" w:lastColumn="0" w:noHBand="0" w:noVBand="1"/>
      </w:tblPr>
      <w:tblGrid>
        <w:gridCol w:w="1829"/>
        <w:gridCol w:w="2389"/>
        <w:gridCol w:w="2389"/>
        <w:gridCol w:w="2389"/>
      </w:tblGrid>
      <w:tr w:rsidR="007439ED" w:rsidRPr="00944CAE" w:rsidTr="00043B31">
        <w:trPr>
          <w:trHeight w:val="457"/>
          <w:tblHeader/>
        </w:trPr>
        <w:tc>
          <w:tcPr>
            <w:tcW w:w="1829" w:type="dxa"/>
            <w:shd w:val="clear" w:color="auto" w:fill="auto"/>
            <w:tcMar>
              <w:top w:w="168" w:type="dxa"/>
              <w:left w:w="240" w:type="dxa"/>
              <w:bottom w:w="192" w:type="dxa"/>
              <w:right w:w="0" w:type="dxa"/>
            </w:tcMar>
            <w:vAlign w:val="center"/>
            <w:hideMark/>
          </w:tcPr>
          <w:p w:rsidR="007439ED" w:rsidRPr="00944CAE" w:rsidRDefault="007439ED" w:rsidP="00CA2DC5">
            <w:pPr>
              <w:rPr>
                <w:rFonts w:ascii="Arial" w:hAnsi="Arial" w:cs="Arial"/>
              </w:rPr>
            </w:pPr>
          </w:p>
        </w:tc>
        <w:tc>
          <w:tcPr>
            <w:tcW w:w="2389" w:type="dxa"/>
            <w:shd w:val="clear" w:color="auto" w:fill="auto"/>
            <w:tcMar>
              <w:top w:w="168" w:type="dxa"/>
              <w:left w:w="120" w:type="dxa"/>
              <w:bottom w:w="192" w:type="dxa"/>
              <w:right w:w="120" w:type="dxa"/>
            </w:tcMar>
            <w:hideMark/>
          </w:tcPr>
          <w:p w:rsidR="007439ED" w:rsidRPr="00944CAE" w:rsidRDefault="007439ED" w:rsidP="00CA2DC5">
            <w:pPr>
              <w:rPr>
                <w:rFonts w:ascii="Arial" w:hAnsi="Arial" w:cs="Arial"/>
              </w:rPr>
            </w:pPr>
            <w:r w:rsidRPr="00944CAE">
              <w:rPr>
                <w:rFonts w:ascii="Arial" w:hAnsi="Arial" w:cs="Arial"/>
              </w:rPr>
              <w:t>Yes</w:t>
            </w:r>
          </w:p>
        </w:tc>
        <w:tc>
          <w:tcPr>
            <w:tcW w:w="2389" w:type="dxa"/>
            <w:shd w:val="clear" w:color="auto" w:fill="auto"/>
            <w:tcMar>
              <w:top w:w="168" w:type="dxa"/>
              <w:left w:w="120" w:type="dxa"/>
              <w:bottom w:w="192" w:type="dxa"/>
              <w:right w:w="120" w:type="dxa"/>
            </w:tcMar>
            <w:hideMark/>
          </w:tcPr>
          <w:p w:rsidR="007439ED" w:rsidRPr="00944CAE" w:rsidRDefault="007439ED" w:rsidP="00CA2DC5">
            <w:pPr>
              <w:rPr>
                <w:rFonts w:ascii="Arial" w:hAnsi="Arial" w:cs="Arial"/>
              </w:rPr>
            </w:pPr>
            <w:r w:rsidRPr="00944CAE">
              <w:rPr>
                <w:rFonts w:ascii="Arial" w:hAnsi="Arial" w:cs="Arial"/>
              </w:rPr>
              <w:t>No</w:t>
            </w:r>
          </w:p>
        </w:tc>
        <w:tc>
          <w:tcPr>
            <w:tcW w:w="2389" w:type="dxa"/>
            <w:shd w:val="clear" w:color="auto" w:fill="auto"/>
            <w:tcMar>
              <w:top w:w="168" w:type="dxa"/>
              <w:left w:w="120" w:type="dxa"/>
              <w:bottom w:w="192" w:type="dxa"/>
              <w:right w:w="120" w:type="dxa"/>
            </w:tcMar>
            <w:hideMark/>
          </w:tcPr>
          <w:p w:rsidR="007439ED" w:rsidRPr="00944CAE" w:rsidRDefault="007439ED" w:rsidP="00CA2DC5">
            <w:pPr>
              <w:rPr>
                <w:rFonts w:ascii="Arial" w:hAnsi="Arial" w:cs="Arial"/>
              </w:rPr>
            </w:pPr>
            <w:r w:rsidRPr="00944CAE">
              <w:rPr>
                <w:rFonts w:ascii="Arial" w:hAnsi="Arial" w:cs="Arial"/>
              </w:rPr>
              <w:t>Unsure</w:t>
            </w:r>
          </w:p>
        </w:tc>
      </w:tr>
      <w:tr w:rsidR="007439ED" w:rsidRPr="00944CAE" w:rsidTr="00043B31">
        <w:trPr>
          <w:trHeight w:val="1311"/>
        </w:trPr>
        <w:tc>
          <w:tcPr>
            <w:tcW w:w="1829" w:type="dxa"/>
            <w:tcBorders>
              <w:top w:val="single" w:sz="6" w:space="0" w:color="DDDDDD"/>
            </w:tcBorders>
            <w:shd w:val="clear" w:color="auto" w:fill="auto"/>
            <w:tcMar>
              <w:top w:w="168" w:type="dxa"/>
              <w:left w:w="240" w:type="dxa"/>
              <w:bottom w:w="192" w:type="dxa"/>
              <w:right w:w="0" w:type="dxa"/>
            </w:tcMar>
            <w:vAlign w:val="center"/>
            <w:hideMark/>
          </w:tcPr>
          <w:p w:rsidR="007439ED" w:rsidRPr="00944CAE" w:rsidRDefault="007439ED" w:rsidP="00CA2DC5">
            <w:pPr>
              <w:rPr>
                <w:rFonts w:ascii="Arial" w:hAnsi="Arial" w:cs="Arial"/>
              </w:rPr>
            </w:pPr>
            <w:r w:rsidRPr="00944CAE">
              <w:rPr>
                <w:rFonts w:ascii="Arial" w:hAnsi="Arial" w:cs="Arial"/>
              </w:rPr>
              <w:t>Should a universal base rate be included in the early years national funding formula?</w:t>
            </w:r>
          </w:p>
        </w:tc>
        <w:tc>
          <w:tcPr>
            <w:tcW w:w="0" w:type="auto"/>
            <w:tcBorders>
              <w:top w:val="single" w:sz="6" w:space="0" w:color="DDDDDD"/>
            </w:tcBorders>
            <w:shd w:val="clear" w:color="auto" w:fill="auto"/>
            <w:tcMar>
              <w:top w:w="168" w:type="dxa"/>
              <w:left w:w="120" w:type="dxa"/>
              <w:bottom w:w="192" w:type="dxa"/>
              <w:right w:w="120" w:type="dxa"/>
            </w:tcMar>
            <w:vAlign w:val="center"/>
            <w:hideMark/>
          </w:tcPr>
          <w:p w:rsidR="007439ED" w:rsidRPr="00944CAE" w:rsidRDefault="007439ED" w:rsidP="00CA2DC5">
            <w:pPr>
              <w:rPr>
                <w:rFonts w:ascii="Arial" w:hAnsi="Arial" w:cs="Arial"/>
              </w:rPr>
            </w:pPr>
            <w:r w:rsidRPr="00944CAE">
              <w:rPr>
                <w:rFonts w:ascii="Arial" w:hAnsi="Arial" w:cs="Arial"/>
              </w:rPr>
              <w:object w:dxaOrig="1440" w:dyaOrig="1440" w14:anchorId="27F83209">
                <v:shape id="_x0000_i1203" type="#_x0000_t75" style="width:20.1pt;height:17.6pt" o:ole="">
                  <v:imagedata r:id="rId8" o:title=""/>
                </v:shape>
                <w:control r:id="rId13" w:name="DefaultOcxName32" w:shapeid="_x0000_i1203"/>
              </w:object>
            </w:r>
          </w:p>
        </w:tc>
        <w:tc>
          <w:tcPr>
            <w:tcW w:w="0" w:type="auto"/>
            <w:tcBorders>
              <w:top w:val="single" w:sz="6" w:space="0" w:color="DDDDDD"/>
            </w:tcBorders>
            <w:shd w:val="clear" w:color="auto" w:fill="auto"/>
            <w:tcMar>
              <w:top w:w="168" w:type="dxa"/>
              <w:left w:w="120" w:type="dxa"/>
              <w:bottom w:w="192" w:type="dxa"/>
              <w:right w:w="120" w:type="dxa"/>
            </w:tcMar>
            <w:vAlign w:val="center"/>
            <w:hideMark/>
          </w:tcPr>
          <w:p w:rsidR="007439ED" w:rsidRPr="00944CAE" w:rsidRDefault="007439ED" w:rsidP="00CA2DC5">
            <w:pPr>
              <w:rPr>
                <w:rFonts w:ascii="Arial" w:hAnsi="Arial" w:cs="Arial"/>
              </w:rPr>
            </w:pPr>
            <w:r w:rsidRPr="00944CAE">
              <w:rPr>
                <w:rFonts w:ascii="Arial" w:hAnsi="Arial" w:cs="Arial"/>
              </w:rPr>
              <w:object w:dxaOrig="1440" w:dyaOrig="1440" w14:anchorId="1ADAE5B8">
                <v:shape id="_x0000_i1206" type="#_x0000_t75" style="width:20.1pt;height:17.6pt" o:ole="">
                  <v:imagedata r:id="rId10" o:title=""/>
                </v:shape>
                <w:control r:id="rId14" w:name="DefaultOcxName42" w:shapeid="_x0000_i1206"/>
              </w:object>
            </w:r>
          </w:p>
        </w:tc>
        <w:tc>
          <w:tcPr>
            <w:tcW w:w="0" w:type="auto"/>
            <w:tcBorders>
              <w:top w:val="single" w:sz="6" w:space="0" w:color="DDDDDD"/>
            </w:tcBorders>
            <w:shd w:val="clear" w:color="auto" w:fill="auto"/>
            <w:tcMar>
              <w:top w:w="168" w:type="dxa"/>
              <w:left w:w="120" w:type="dxa"/>
              <w:bottom w:w="192" w:type="dxa"/>
              <w:right w:w="120" w:type="dxa"/>
            </w:tcMar>
            <w:vAlign w:val="center"/>
            <w:hideMark/>
          </w:tcPr>
          <w:p w:rsidR="007439ED" w:rsidRPr="00944CAE" w:rsidRDefault="007439ED" w:rsidP="00CA2DC5">
            <w:pPr>
              <w:rPr>
                <w:rFonts w:ascii="Arial" w:hAnsi="Arial" w:cs="Arial"/>
              </w:rPr>
            </w:pPr>
            <w:r w:rsidRPr="00944CAE">
              <w:rPr>
                <w:rFonts w:ascii="Arial" w:hAnsi="Arial" w:cs="Arial"/>
              </w:rPr>
              <w:object w:dxaOrig="1440" w:dyaOrig="1440" w14:anchorId="6169C506">
                <v:shape id="_x0000_i1209" type="#_x0000_t75" style="width:20.1pt;height:17.6pt" o:ole="">
                  <v:imagedata r:id="rId10" o:title=""/>
                </v:shape>
                <w:control r:id="rId15" w:name="DefaultOcxName52" w:shapeid="_x0000_i1209"/>
              </w:object>
            </w:r>
          </w:p>
        </w:tc>
      </w:tr>
      <w:tr w:rsidR="007439ED" w:rsidRPr="00944CAE" w:rsidTr="00043B31">
        <w:trPr>
          <w:trHeight w:val="1311"/>
        </w:trPr>
        <w:tc>
          <w:tcPr>
            <w:tcW w:w="1829" w:type="dxa"/>
            <w:tcBorders>
              <w:top w:val="single" w:sz="6" w:space="0" w:color="DDDDDD"/>
            </w:tcBorders>
            <w:shd w:val="clear" w:color="auto" w:fill="auto"/>
            <w:tcMar>
              <w:top w:w="168" w:type="dxa"/>
              <w:left w:w="240" w:type="dxa"/>
              <w:bottom w:w="192" w:type="dxa"/>
              <w:right w:w="0" w:type="dxa"/>
            </w:tcMar>
            <w:vAlign w:val="center"/>
            <w:hideMark/>
          </w:tcPr>
          <w:p w:rsidR="007439ED" w:rsidRPr="00944CAE" w:rsidRDefault="007439ED" w:rsidP="00CA2DC5">
            <w:pPr>
              <w:rPr>
                <w:rFonts w:ascii="Arial" w:hAnsi="Arial" w:cs="Arial"/>
              </w:rPr>
            </w:pPr>
            <w:r w:rsidRPr="00944CAE">
              <w:rPr>
                <w:rFonts w:ascii="Arial" w:hAnsi="Arial" w:cs="Arial"/>
              </w:rPr>
              <w:t>Is 89.5% of overall funding the right amount to channel through this factor?</w:t>
            </w:r>
          </w:p>
        </w:tc>
        <w:tc>
          <w:tcPr>
            <w:tcW w:w="0" w:type="auto"/>
            <w:tcBorders>
              <w:top w:val="single" w:sz="6" w:space="0" w:color="DDDDDD"/>
            </w:tcBorders>
            <w:shd w:val="clear" w:color="auto" w:fill="auto"/>
            <w:tcMar>
              <w:top w:w="168" w:type="dxa"/>
              <w:left w:w="120" w:type="dxa"/>
              <w:bottom w:w="192" w:type="dxa"/>
              <w:right w:w="120" w:type="dxa"/>
            </w:tcMar>
            <w:vAlign w:val="center"/>
            <w:hideMark/>
          </w:tcPr>
          <w:p w:rsidR="007439ED" w:rsidRPr="00944CAE" w:rsidRDefault="007439ED" w:rsidP="00CA2DC5">
            <w:pPr>
              <w:rPr>
                <w:rFonts w:ascii="Arial" w:hAnsi="Arial" w:cs="Arial"/>
              </w:rPr>
            </w:pPr>
            <w:r w:rsidRPr="00944CAE">
              <w:rPr>
                <w:rFonts w:ascii="Arial" w:hAnsi="Arial" w:cs="Arial"/>
              </w:rPr>
              <w:object w:dxaOrig="1440" w:dyaOrig="1440" w14:anchorId="0D837D79">
                <v:shape id="_x0000_i1212" type="#_x0000_t75" style="width:20.1pt;height:17.6pt" o:ole="">
                  <v:imagedata r:id="rId10" o:title=""/>
                </v:shape>
                <w:control r:id="rId16" w:name="DefaultOcxName62" w:shapeid="_x0000_i1212"/>
              </w:object>
            </w:r>
          </w:p>
        </w:tc>
        <w:tc>
          <w:tcPr>
            <w:tcW w:w="0" w:type="auto"/>
            <w:tcBorders>
              <w:top w:val="single" w:sz="6" w:space="0" w:color="DDDDDD"/>
            </w:tcBorders>
            <w:shd w:val="clear" w:color="auto" w:fill="auto"/>
            <w:tcMar>
              <w:top w:w="168" w:type="dxa"/>
              <w:left w:w="120" w:type="dxa"/>
              <w:bottom w:w="192" w:type="dxa"/>
              <w:right w:w="120" w:type="dxa"/>
            </w:tcMar>
            <w:vAlign w:val="center"/>
            <w:hideMark/>
          </w:tcPr>
          <w:p w:rsidR="007439ED" w:rsidRPr="00944CAE" w:rsidRDefault="007439ED" w:rsidP="00CA2DC5">
            <w:pPr>
              <w:rPr>
                <w:rFonts w:ascii="Arial" w:hAnsi="Arial" w:cs="Arial"/>
              </w:rPr>
            </w:pPr>
            <w:r w:rsidRPr="00944CAE">
              <w:rPr>
                <w:rFonts w:ascii="Arial" w:hAnsi="Arial" w:cs="Arial"/>
              </w:rPr>
              <w:object w:dxaOrig="1440" w:dyaOrig="1440" w14:anchorId="1EE417CE">
                <v:shape id="_x0000_i1215" type="#_x0000_t75" style="width:20.1pt;height:17.6pt" o:ole="">
                  <v:imagedata r:id="rId10" o:title=""/>
                </v:shape>
                <w:control r:id="rId17" w:name="DefaultOcxName72" w:shapeid="_x0000_i1215"/>
              </w:object>
            </w:r>
          </w:p>
        </w:tc>
        <w:tc>
          <w:tcPr>
            <w:tcW w:w="0" w:type="auto"/>
            <w:tcBorders>
              <w:top w:val="single" w:sz="6" w:space="0" w:color="DDDDDD"/>
            </w:tcBorders>
            <w:shd w:val="clear" w:color="auto" w:fill="auto"/>
            <w:tcMar>
              <w:top w:w="168" w:type="dxa"/>
              <w:left w:w="120" w:type="dxa"/>
              <w:bottom w:w="192" w:type="dxa"/>
              <w:right w:w="120" w:type="dxa"/>
            </w:tcMar>
            <w:vAlign w:val="center"/>
            <w:hideMark/>
          </w:tcPr>
          <w:p w:rsidR="007439ED" w:rsidRPr="00944CAE" w:rsidRDefault="007439ED" w:rsidP="00CA2DC5">
            <w:pPr>
              <w:rPr>
                <w:rFonts w:ascii="Arial" w:hAnsi="Arial" w:cs="Arial"/>
              </w:rPr>
            </w:pPr>
            <w:r w:rsidRPr="00944CAE">
              <w:rPr>
                <w:rFonts w:ascii="Arial" w:hAnsi="Arial" w:cs="Arial"/>
              </w:rPr>
              <w:object w:dxaOrig="1440" w:dyaOrig="1440" w14:anchorId="0A82CDF0">
                <v:shape id="_x0000_i1218" type="#_x0000_t75" style="width:20.1pt;height:17.6pt" o:ole="">
                  <v:imagedata r:id="rId8" o:title=""/>
                </v:shape>
                <w:control r:id="rId18" w:name="DefaultOcxName83" w:shapeid="_x0000_i1218"/>
              </w:object>
            </w:r>
          </w:p>
        </w:tc>
      </w:tr>
    </w:tbl>
    <w:p w:rsidR="007439ED" w:rsidRPr="00944CAE" w:rsidRDefault="007439ED" w:rsidP="007439ED">
      <w:pPr>
        <w:rPr>
          <w:rFonts w:ascii="Arial" w:hAnsi="Arial" w:cs="Arial"/>
          <w:b/>
        </w:rPr>
      </w:pPr>
      <w:r w:rsidRPr="00944CAE">
        <w:rPr>
          <w:rFonts w:ascii="Arial" w:hAnsi="Arial" w:cs="Arial"/>
          <w:b/>
          <w:bCs/>
        </w:rPr>
        <w:t>11</w:t>
      </w:r>
      <w:r w:rsidR="00F91DDF" w:rsidRPr="00944CAE">
        <w:rPr>
          <w:rFonts w:ascii="Arial" w:hAnsi="Arial" w:cs="Arial"/>
          <w:b/>
          <w:bCs/>
        </w:rPr>
        <w:t xml:space="preserve"> </w:t>
      </w:r>
      <w:r w:rsidRPr="00944CAE">
        <w:rPr>
          <w:rFonts w:ascii="Arial" w:hAnsi="Arial" w:cs="Arial"/>
          <w:b/>
        </w:rPr>
        <w:t>Considering an additional needs factor...</w:t>
      </w:r>
    </w:p>
    <w:p w:rsidR="007439ED" w:rsidRPr="00944CAE" w:rsidRDefault="007439ED" w:rsidP="007439ED">
      <w:pPr>
        <w:rPr>
          <w:rFonts w:ascii="Arial" w:hAnsi="Arial" w:cs="Arial"/>
          <w:b/>
        </w:rPr>
      </w:pPr>
    </w:p>
    <w:tbl>
      <w:tblPr>
        <w:tblW w:w="8906" w:type="dxa"/>
        <w:tblCellMar>
          <w:top w:w="15" w:type="dxa"/>
          <w:left w:w="15" w:type="dxa"/>
          <w:bottom w:w="15" w:type="dxa"/>
          <w:right w:w="15" w:type="dxa"/>
        </w:tblCellMar>
        <w:tblLook w:val="04A0" w:firstRow="1" w:lastRow="0" w:firstColumn="1" w:lastColumn="0" w:noHBand="0" w:noVBand="1"/>
      </w:tblPr>
      <w:tblGrid>
        <w:gridCol w:w="1811"/>
        <w:gridCol w:w="2365"/>
        <w:gridCol w:w="2365"/>
        <w:gridCol w:w="2365"/>
      </w:tblGrid>
      <w:tr w:rsidR="007439ED" w:rsidRPr="00944CAE" w:rsidTr="00043B31">
        <w:trPr>
          <w:trHeight w:val="446"/>
          <w:tblHeader/>
        </w:trPr>
        <w:tc>
          <w:tcPr>
            <w:tcW w:w="1811" w:type="dxa"/>
            <w:shd w:val="clear" w:color="auto" w:fill="auto"/>
            <w:tcMar>
              <w:top w:w="168" w:type="dxa"/>
              <w:left w:w="240" w:type="dxa"/>
              <w:bottom w:w="192" w:type="dxa"/>
              <w:right w:w="0" w:type="dxa"/>
            </w:tcMar>
            <w:vAlign w:val="center"/>
            <w:hideMark/>
          </w:tcPr>
          <w:p w:rsidR="007439ED" w:rsidRPr="00944CAE" w:rsidRDefault="007439ED" w:rsidP="00CA2DC5">
            <w:pPr>
              <w:rPr>
                <w:rFonts w:ascii="Arial" w:hAnsi="Arial" w:cs="Arial"/>
              </w:rPr>
            </w:pPr>
          </w:p>
        </w:tc>
        <w:tc>
          <w:tcPr>
            <w:tcW w:w="2365" w:type="dxa"/>
            <w:shd w:val="clear" w:color="auto" w:fill="auto"/>
            <w:tcMar>
              <w:top w:w="168" w:type="dxa"/>
              <w:left w:w="120" w:type="dxa"/>
              <w:bottom w:w="192" w:type="dxa"/>
              <w:right w:w="120" w:type="dxa"/>
            </w:tcMar>
            <w:hideMark/>
          </w:tcPr>
          <w:p w:rsidR="007439ED" w:rsidRPr="00944CAE" w:rsidRDefault="007439ED" w:rsidP="00CA2DC5">
            <w:pPr>
              <w:rPr>
                <w:rFonts w:ascii="Arial" w:hAnsi="Arial" w:cs="Arial"/>
              </w:rPr>
            </w:pPr>
            <w:r w:rsidRPr="00944CAE">
              <w:rPr>
                <w:rFonts w:ascii="Arial" w:hAnsi="Arial" w:cs="Arial"/>
              </w:rPr>
              <w:t>Yes</w:t>
            </w:r>
          </w:p>
        </w:tc>
        <w:tc>
          <w:tcPr>
            <w:tcW w:w="2365" w:type="dxa"/>
            <w:shd w:val="clear" w:color="auto" w:fill="auto"/>
            <w:tcMar>
              <w:top w:w="168" w:type="dxa"/>
              <w:left w:w="120" w:type="dxa"/>
              <w:bottom w:w="192" w:type="dxa"/>
              <w:right w:w="120" w:type="dxa"/>
            </w:tcMar>
            <w:hideMark/>
          </w:tcPr>
          <w:p w:rsidR="007439ED" w:rsidRPr="00944CAE" w:rsidRDefault="007439ED" w:rsidP="00CA2DC5">
            <w:pPr>
              <w:rPr>
                <w:rFonts w:ascii="Arial" w:hAnsi="Arial" w:cs="Arial"/>
              </w:rPr>
            </w:pPr>
            <w:r w:rsidRPr="00944CAE">
              <w:rPr>
                <w:rFonts w:ascii="Arial" w:hAnsi="Arial" w:cs="Arial"/>
              </w:rPr>
              <w:t>No</w:t>
            </w:r>
          </w:p>
        </w:tc>
        <w:tc>
          <w:tcPr>
            <w:tcW w:w="2365" w:type="dxa"/>
            <w:shd w:val="clear" w:color="auto" w:fill="auto"/>
            <w:tcMar>
              <w:top w:w="168" w:type="dxa"/>
              <w:left w:w="120" w:type="dxa"/>
              <w:bottom w:w="192" w:type="dxa"/>
              <w:right w:w="120" w:type="dxa"/>
            </w:tcMar>
            <w:hideMark/>
          </w:tcPr>
          <w:p w:rsidR="007439ED" w:rsidRPr="00944CAE" w:rsidRDefault="007439ED" w:rsidP="00CA2DC5">
            <w:pPr>
              <w:rPr>
                <w:rFonts w:ascii="Arial" w:hAnsi="Arial" w:cs="Arial"/>
              </w:rPr>
            </w:pPr>
            <w:r w:rsidRPr="00944CAE">
              <w:rPr>
                <w:rFonts w:ascii="Arial" w:hAnsi="Arial" w:cs="Arial"/>
              </w:rPr>
              <w:t>Unsure</w:t>
            </w:r>
          </w:p>
        </w:tc>
      </w:tr>
      <w:tr w:rsidR="007439ED" w:rsidRPr="00944CAE" w:rsidTr="00043B31">
        <w:trPr>
          <w:trHeight w:val="1553"/>
        </w:trPr>
        <w:tc>
          <w:tcPr>
            <w:tcW w:w="1811" w:type="dxa"/>
            <w:tcBorders>
              <w:top w:val="single" w:sz="6" w:space="0" w:color="DDDDDD"/>
            </w:tcBorders>
            <w:shd w:val="clear" w:color="auto" w:fill="auto"/>
            <w:tcMar>
              <w:top w:w="168" w:type="dxa"/>
              <w:left w:w="240" w:type="dxa"/>
              <w:bottom w:w="192" w:type="dxa"/>
              <w:right w:w="0" w:type="dxa"/>
            </w:tcMar>
            <w:vAlign w:val="center"/>
            <w:hideMark/>
          </w:tcPr>
          <w:p w:rsidR="007439ED" w:rsidRPr="00944CAE" w:rsidRDefault="007439ED" w:rsidP="00CA2DC5">
            <w:pPr>
              <w:rPr>
                <w:rFonts w:ascii="Arial" w:hAnsi="Arial" w:cs="Arial"/>
              </w:rPr>
            </w:pPr>
            <w:r w:rsidRPr="00944CAE">
              <w:rPr>
                <w:rFonts w:ascii="Arial" w:hAnsi="Arial" w:cs="Arial"/>
              </w:rPr>
              <w:t>Should an additional needs factor be included in the early years national funding formula?</w:t>
            </w:r>
          </w:p>
        </w:tc>
        <w:tc>
          <w:tcPr>
            <w:tcW w:w="0" w:type="auto"/>
            <w:tcBorders>
              <w:top w:val="single" w:sz="6" w:space="0" w:color="DDDDDD"/>
            </w:tcBorders>
            <w:shd w:val="clear" w:color="auto" w:fill="auto"/>
            <w:tcMar>
              <w:top w:w="168" w:type="dxa"/>
              <w:left w:w="120" w:type="dxa"/>
              <w:bottom w:w="192" w:type="dxa"/>
              <w:right w:w="120" w:type="dxa"/>
            </w:tcMar>
            <w:vAlign w:val="center"/>
            <w:hideMark/>
          </w:tcPr>
          <w:p w:rsidR="007439ED" w:rsidRPr="00944CAE" w:rsidRDefault="007439ED" w:rsidP="00CA2DC5">
            <w:pPr>
              <w:rPr>
                <w:rFonts w:ascii="Arial" w:hAnsi="Arial" w:cs="Arial"/>
              </w:rPr>
            </w:pPr>
            <w:r w:rsidRPr="00944CAE">
              <w:rPr>
                <w:rFonts w:ascii="Arial" w:hAnsi="Arial" w:cs="Arial"/>
              </w:rPr>
              <w:object w:dxaOrig="1440" w:dyaOrig="1440" w14:anchorId="4C22E782">
                <v:shape id="_x0000_i1221" type="#_x0000_t75" style="width:20.1pt;height:17.6pt" o:ole="">
                  <v:imagedata r:id="rId8" o:title=""/>
                </v:shape>
                <w:control r:id="rId19" w:name="DefaultOcxName92" w:shapeid="_x0000_i1221"/>
              </w:object>
            </w:r>
          </w:p>
        </w:tc>
        <w:tc>
          <w:tcPr>
            <w:tcW w:w="0" w:type="auto"/>
            <w:tcBorders>
              <w:top w:val="single" w:sz="6" w:space="0" w:color="DDDDDD"/>
            </w:tcBorders>
            <w:shd w:val="clear" w:color="auto" w:fill="auto"/>
            <w:tcMar>
              <w:top w:w="168" w:type="dxa"/>
              <w:left w:w="120" w:type="dxa"/>
              <w:bottom w:w="192" w:type="dxa"/>
              <w:right w:w="120" w:type="dxa"/>
            </w:tcMar>
            <w:vAlign w:val="center"/>
            <w:hideMark/>
          </w:tcPr>
          <w:p w:rsidR="007439ED" w:rsidRPr="00944CAE" w:rsidRDefault="007439ED" w:rsidP="00CA2DC5">
            <w:pPr>
              <w:rPr>
                <w:rFonts w:ascii="Arial" w:hAnsi="Arial" w:cs="Arial"/>
              </w:rPr>
            </w:pPr>
            <w:r w:rsidRPr="00944CAE">
              <w:rPr>
                <w:rFonts w:ascii="Arial" w:hAnsi="Arial" w:cs="Arial"/>
              </w:rPr>
              <w:object w:dxaOrig="1440" w:dyaOrig="1440" w14:anchorId="0AB4A440">
                <v:shape id="_x0000_i1224" type="#_x0000_t75" style="width:20.1pt;height:17.6pt" o:ole="">
                  <v:imagedata r:id="rId10" o:title=""/>
                </v:shape>
                <w:control r:id="rId20" w:name="DefaultOcxName102" w:shapeid="_x0000_i1224"/>
              </w:object>
            </w:r>
          </w:p>
        </w:tc>
        <w:tc>
          <w:tcPr>
            <w:tcW w:w="0" w:type="auto"/>
            <w:tcBorders>
              <w:top w:val="single" w:sz="6" w:space="0" w:color="DDDDDD"/>
            </w:tcBorders>
            <w:shd w:val="clear" w:color="auto" w:fill="auto"/>
            <w:tcMar>
              <w:top w:w="168" w:type="dxa"/>
              <w:left w:w="120" w:type="dxa"/>
              <w:bottom w:w="192" w:type="dxa"/>
              <w:right w:w="120" w:type="dxa"/>
            </w:tcMar>
            <w:vAlign w:val="center"/>
            <w:hideMark/>
          </w:tcPr>
          <w:p w:rsidR="007439ED" w:rsidRPr="00944CAE" w:rsidRDefault="007439ED" w:rsidP="00CA2DC5">
            <w:pPr>
              <w:rPr>
                <w:rFonts w:ascii="Arial" w:hAnsi="Arial" w:cs="Arial"/>
              </w:rPr>
            </w:pPr>
            <w:r w:rsidRPr="00944CAE">
              <w:rPr>
                <w:rFonts w:ascii="Arial" w:hAnsi="Arial" w:cs="Arial"/>
              </w:rPr>
              <w:object w:dxaOrig="1440" w:dyaOrig="1440" w14:anchorId="2EFC4E33">
                <v:shape id="_x0000_i1227" type="#_x0000_t75" style="width:20.1pt;height:17.6pt" o:ole="">
                  <v:imagedata r:id="rId10" o:title=""/>
                </v:shape>
                <w:control r:id="rId21" w:name="DefaultOcxName114" w:shapeid="_x0000_i1227"/>
              </w:object>
            </w:r>
          </w:p>
        </w:tc>
      </w:tr>
      <w:tr w:rsidR="007439ED" w:rsidRPr="00944CAE" w:rsidTr="00043B31">
        <w:trPr>
          <w:trHeight w:val="532"/>
        </w:trPr>
        <w:tc>
          <w:tcPr>
            <w:tcW w:w="1811" w:type="dxa"/>
            <w:tcBorders>
              <w:top w:val="single" w:sz="6" w:space="0" w:color="DDDDDD"/>
            </w:tcBorders>
            <w:shd w:val="clear" w:color="auto" w:fill="auto"/>
            <w:tcMar>
              <w:top w:w="168" w:type="dxa"/>
              <w:left w:w="240" w:type="dxa"/>
              <w:bottom w:w="192" w:type="dxa"/>
              <w:right w:w="0" w:type="dxa"/>
            </w:tcMar>
            <w:vAlign w:val="center"/>
            <w:hideMark/>
          </w:tcPr>
          <w:p w:rsidR="007439ED" w:rsidRPr="00944CAE" w:rsidRDefault="007439ED" w:rsidP="00CA2DC5">
            <w:pPr>
              <w:rPr>
                <w:rFonts w:ascii="Arial" w:hAnsi="Arial" w:cs="Arial"/>
              </w:rPr>
            </w:pPr>
            <w:r w:rsidRPr="00944CAE">
              <w:rPr>
                <w:rFonts w:ascii="Arial" w:hAnsi="Arial" w:cs="Arial"/>
              </w:rPr>
              <w:t xml:space="preserve">Do we propose the correct set </w:t>
            </w:r>
            <w:r w:rsidRPr="00944CAE">
              <w:rPr>
                <w:rFonts w:ascii="Arial" w:hAnsi="Arial" w:cs="Arial"/>
              </w:rPr>
              <w:lastRenderedPageBreak/>
              <w:t>of metrics?</w:t>
            </w:r>
          </w:p>
        </w:tc>
        <w:tc>
          <w:tcPr>
            <w:tcW w:w="0" w:type="auto"/>
            <w:tcBorders>
              <w:top w:val="single" w:sz="6" w:space="0" w:color="DDDDDD"/>
            </w:tcBorders>
            <w:shd w:val="clear" w:color="auto" w:fill="auto"/>
            <w:tcMar>
              <w:top w:w="168" w:type="dxa"/>
              <w:left w:w="120" w:type="dxa"/>
              <w:bottom w:w="192" w:type="dxa"/>
              <w:right w:w="120" w:type="dxa"/>
            </w:tcMar>
            <w:vAlign w:val="center"/>
            <w:hideMark/>
          </w:tcPr>
          <w:p w:rsidR="007439ED" w:rsidRPr="00944CAE" w:rsidRDefault="007439ED" w:rsidP="00CA2DC5">
            <w:pPr>
              <w:rPr>
                <w:rFonts w:ascii="Arial" w:hAnsi="Arial" w:cs="Arial"/>
              </w:rPr>
            </w:pPr>
            <w:r w:rsidRPr="00944CAE">
              <w:rPr>
                <w:rFonts w:ascii="Arial" w:hAnsi="Arial" w:cs="Arial"/>
              </w:rPr>
              <w:lastRenderedPageBreak/>
              <w:object w:dxaOrig="1440" w:dyaOrig="1440" w14:anchorId="0E6AD8C4">
                <v:shape id="_x0000_i1230" type="#_x0000_t75" style="width:20.1pt;height:17.6pt" o:ole="">
                  <v:imagedata r:id="rId8" o:title=""/>
                </v:shape>
                <w:control r:id="rId22" w:name="DefaultOcxName122" w:shapeid="_x0000_i1230"/>
              </w:object>
            </w:r>
          </w:p>
        </w:tc>
        <w:tc>
          <w:tcPr>
            <w:tcW w:w="0" w:type="auto"/>
            <w:tcBorders>
              <w:top w:val="single" w:sz="6" w:space="0" w:color="DDDDDD"/>
            </w:tcBorders>
            <w:shd w:val="clear" w:color="auto" w:fill="auto"/>
            <w:tcMar>
              <w:top w:w="168" w:type="dxa"/>
              <w:left w:w="120" w:type="dxa"/>
              <w:bottom w:w="192" w:type="dxa"/>
              <w:right w:w="120" w:type="dxa"/>
            </w:tcMar>
            <w:vAlign w:val="center"/>
            <w:hideMark/>
          </w:tcPr>
          <w:p w:rsidR="007439ED" w:rsidRPr="00944CAE" w:rsidRDefault="007439ED" w:rsidP="00CA2DC5">
            <w:pPr>
              <w:rPr>
                <w:rFonts w:ascii="Arial" w:hAnsi="Arial" w:cs="Arial"/>
              </w:rPr>
            </w:pPr>
            <w:r w:rsidRPr="00944CAE">
              <w:rPr>
                <w:rFonts w:ascii="Arial" w:hAnsi="Arial" w:cs="Arial"/>
              </w:rPr>
              <w:object w:dxaOrig="1440" w:dyaOrig="1440" w14:anchorId="7B087E19">
                <v:shape id="_x0000_i1233" type="#_x0000_t75" style="width:20.1pt;height:17.6pt" o:ole="">
                  <v:imagedata r:id="rId10" o:title=""/>
                </v:shape>
                <w:control r:id="rId23" w:name="DefaultOcxName132" w:shapeid="_x0000_i1233"/>
              </w:object>
            </w:r>
          </w:p>
        </w:tc>
        <w:tc>
          <w:tcPr>
            <w:tcW w:w="0" w:type="auto"/>
            <w:tcBorders>
              <w:top w:val="single" w:sz="6" w:space="0" w:color="DDDDDD"/>
            </w:tcBorders>
            <w:shd w:val="clear" w:color="auto" w:fill="auto"/>
            <w:tcMar>
              <w:top w:w="168" w:type="dxa"/>
              <w:left w:w="120" w:type="dxa"/>
              <w:bottom w:w="192" w:type="dxa"/>
              <w:right w:w="120" w:type="dxa"/>
            </w:tcMar>
            <w:vAlign w:val="center"/>
            <w:hideMark/>
          </w:tcPr>
          <w:p w:rsidR="007439ED" w:rsidRPr="00944CAE" w:rsidRDefault="007439ED" w:rsidP="00CA2DC5">
            <w:pPr>
              <w:rPr>
                <w:rFonts w:ascii="Arial" w:hAnsi="Arial" w:cs="Arial"/>
              </w:rPr>
            </w:pPr>
            <w:r w:rsidRPr="00944CAE">
              <w:rPr>
                <w:rFonts w:ascii="Arial" w:hAnsi="Arial" w:cs="Arial"/>
              </w:rPr>
              <w:object w:dxaOrig="1440" w:dyaOrig="1440" w14:anchorId="478B2EFD">
                <v:shape id="_x0000_i1236" type="#_x0000_t75" style="width:20.1pt;height:17.6pt" o:ole="">
                  <v:imagedata r:id="rId10" o:title=""/>
                </v:shape>
                <w:control r:id="rId24" w:name="DefaultOcxName142" w:shapeid="_x0000_i1236"/>
              </w:object>
            </w:r>
          </w:p>
        </w:tc>
      </w:tr>
      <w:tr w:rsidR="007439ED" w:rsidRPr="00944CAE" w:rsidTr="00043B31">
        <w:trPr>
          <w:trHeight w:val="138"/>
        </w:trPr>
        <w:tc>
          <w:tcPr>
            <w:tcW w:w="1811" w:type="dxa"/>
            <w:tcBorders>
              <w:top w:val="single" w:sz="6" w:space="0" w:color="DDDDDD"/>
            </w:tcBorders>
            <w:shd w:val="clear" w:color="auto" w:fill="auto"/>
            <w:tcMar>
              <w:top w:w="168" w:type="dxa"/>
              <w:left w:w="240" w:type="dxa"/>
              <w:bottom w:w="192" w:type="dxa"/>
              <w:right w:w="0" w:type="dxa"/>
            </w:tcMar>
            <w:vAlign w:val="center"/>
            <w:hideMark/>
          </w:tcPr>
          <w:p w:rsidR="007439ED" w:rsidRPr="00944CAE" w:rsidRDefault="007439ED" w:rsidP="00CA2DC5">
            <w:pPr>
              <w:rPr>
                <w:rFonts w:ascii="Arial" w:hAnsi="Arial" w:cs="Arial"/>
              </w:rPr>
            </w:pPr>
            <w:r w:rsidRPr="00944CAE">
              <w:rPr>
                <w:rFonts w:ascii="Arial" w:hAnsi="Arial" w:cs="Arial"/>
              </w:rPr>
              <w:lastRenderedPageBreak/>
              <w:t>Do we propose the correct weightings for each metric?</w:t>
            </w:r>
          </w:p>
        </w:tc>
        <w:tc>
          <w:tcPr>
            <w:tcW w:w="0" w:type="auto"/>
            <w:tcBorders>
              <w:top w:val="single" w:sz="6" w:space="0" w:color="DDDDDD"/>
            </w:tcBorders>
            <w:shd w:val="clear" w:color="auto" w:fill="auto"/>
            <w:tcMar>
              <w:top w:w="168" w:type="dxa"/>
              <w:left w:w="120" w:type="dxa"/>
              <w:bottom w:w="192" w:type="dxa"/>
              <w:right w:w="120" w:type="dxa"/>
            </w:tcMar>
            <w:vAlign w:val="center"/>
            <w:hideMark/>
          </w:tcPr>
          <w:p w:rsidR="007439ED" w:rsidRPr="00944CAE" w:rsidRDefault="007439ED" w:rsidP="00CA2DC5">
            <w:pPr>
              <w:rPr>
                <w:rFonts w:ascii="Arial" w:hAnsi="Arial" w:cs="Arial"/>
              </w:rPr>
            </w:pPr>
            <w:r w:rsidRPr="00944CAE">
              <w:rPr>
                <w:rFonts w:ascii="Arial" w:hAnsi="Arial" w:cs="Arial"/>
              </w:rPr>
              <w:object w:dxaOrig="1440" w:dyaOrig="1440" w14:anchorId="7450B6D0">
                <v:shape id="_x0000_i1239" type="#_x0000_t75" style="width:20.1pt;height:17.6pt" o:ole="">
                  <v:imagedata r:id="rId10" o:title=""/>
                </v:shape>
                <w:control r:id="rId25" w:name="DefaultOcxName15" w:shapeid="_x0000_i1239"/>
              </w:object>
            </w:r>
          </w:p>
        </w:tc>
        <w:tc>
          <w:tcPr>
            <w:tcW w:w="0" w:type="auto"/>
            <w:tcBorders>
              <w:top w:val="single" w:sz="6" w:space="0" w:color="DDDDDD"/>
            </w:tcBorders>
            <w:shd w:val="clear" w:color="auto" w:fill="auto"/>
            <w:tcMar>
              <w:top w:w="168" w:type="dxa"/>
              <w:left w:w="120" w:type="dxa"/>
              <w:bottom w:w="192" w:type="dxa"/>
              <w:right w:w="120" w:type="dxa"/>
            </w:tcMar>
            <w:vAlign w:val="center"/>
            <w:hideMark/>
          </w:tcPr>
          <w:p w:rsidR="007439ED" w:rsidRPr="00944CAE" w:rsidRDefault="007439ED" w:rsidP="00CA2DC5">
            <w:pPr>
              <w:rPr>
                <w:rFonts w:ascii="Arial" w:hAnsi="Arial" w:cs="Arial"/>
              </w:rPr>
            </w:pPr>
            <w:r w:rsidRPr="00944CAE">
              <w:rPr>
                <w:rFonts w:ascii="Arial" w:hAnsi="Arial" w:cs="Arial"/>
              </w:rPr>
              <w:object w:dxaOrig="1440" w:dyaOrig="1440" w14:anchorId="5A56073B">
                <v:shape id="_x0000_i1242" type="#_x0000_t75" style="width:20.1pt;height:17.6pt" o:ole="">
                  <v:imagedata r:id="rId10" o:title=""/>
                </v:shape>
                <w:control r:id="rId26" w:name="DefaultOcxName162" w:shapeid="_x0000_i1242"/>
              </w:object>
            </w:r>
          </w:p>
        </w:tc>
        <w:tc>
          <w:tcPr>
            <w:tcW w:w="0" w:type="auto"/>
            <w:tcBorders>
              <w:top w:val="single" w:sz="6" w:space="0" w:color="DDDDDD"/>
            </w:tcBorders>
            <w:shd w:val="clear" w:color="auto" w:fill="auto"/>
            <w:tcMar>
              <w:top w:w="168" w:type="dxa"/>
              <w:left w:w="120" w:type="dxa"/>
              <w:bottom w:w="192" w:type="dxa"/>
              <w:right w:w="120" w:type="dxa"/>
            </w:tcMar>
            <w:vAlign w:val="center"/>
            <w:hideMark/>
          </w:tcPr>
          <w:p w:rsidR="007439ED" w:rsidRPr="00944CAE" w:rsidRDefault="007439ED" w:rsidP="00CA2DC5">
            <w:pPr>
              <w:rPr>
                <w:rFonts w:ascii="Arial" w:hAnsi="Arial" w:cs="Arial"/>
              </w:rPr>
            </w:pPr>
            <w:r w:rsidRPr="00944CAE">
              <w:rPr>
                <w:rFonts w:ascii="Arial" w:hAnsi="Arial" w:cs="Arial"/>
              </w:rPr>
              <w:object w:dxaOrig="1440" w:dyaOrig="1440" w14:anchorId="5004FDC9">
                <v:shape id="_x0000_i1245" type="#_x0000_t75" style="width:20.1pt;height:17.6pt" o:ole="">
                  <v:imagedata r:id="rId8" o:title=""/>
                </v:shape>
                <w:control r:id="rId27" w:name="DefaultOcxName172" w:shapeid="_x0000_i1245"/>
              </w:object>
            </w:r>
          </w:p>
        </w:tc>
      </w:tr>
    </w:tbl>
    <w:p w:rsidR="007439ED" w:rsidRPr="00944CAE" w:rsidRDefault="007439ED" w:rsidP="007439ED">
      <w:pPr>
        <w:rPr>
          <w:rFonts w:ascii="Arial" w:hAnsi="Arial" w:cs="Arial"/>
          <w:b/>
        </w:rPr>
      </w:pPr>
      <w:r w:rsidRPr="00944CAE">
        <w:rPr>
          <w:rFonts w:ascii="Arial" w:hAnsi="Arial" w:cs="Arial"/>
          <w:b/>
          <w:bCs/>
        </w:rPr>
        <w:t>12</w:t>
      </w:r>
      <w:r w:rsidR="00043B31" w:rsidRPr="00944CAE">
        <w:rPr>
          <w:rFonts w:ascii="Arial" w:hAnsi="Arial" w:cs="Arial"/>
          <w:b/>
          <w:bCs/>
        </w:rPr>
        <w:t xml:space="preserve"> </w:t>
      </w:r>
      <w:r w:rsidRPr="00944CAE">
        <w:rPr>
          <w:rFonts w:ascii="Arial" w:hAnsi="Arial" w:cs="Arial"/>
          <w:b/>
        </w:rPr>
        <w:t>Considering an area cost a</w:t>
      </w:r>
      <w:r w:rsidR="00043B31" w:rsidRPr="00944CAE">
        <w:rPr>
          <w:rFonts w:ascii="Arial" w:hAnsi="Arial" w:cs="Arial"/>
          <w:b/>
        </w:rPr>
        <w:t>djustment...</w:t>
      </w:r>
    </w:p>
    <w:tbl>
      <w:tblPr>
        <w:tblW w:w="9342" w:type="dxa"/>
        <w:tblCellMar>
          <w:top w:w="15" w:type="dxa"/>
          <w:left w:w="15" w:type="dxa"/>
          <w:bottom w:w="15" w:type="dxa"/>
          <w:right w:w="15" w:type="dxa"/>
        </w:tblCellMar>
        <w:tblLook w:val="04A0" w:firstRow="1" w:lastRow="0" w:firstColumn="1" w:lastColumn="0" w:noHBand="0" w:noVBand="1"/>
      </w:tblPr>
      <w:tblGrid>
        <w:gridCol w:w="1899"/>
        <w:gridCol w:w="2481"/>
        <w:gridCol w:w="2481"/>
        <w:gridCol w:w="2481"/>
      </w:tblGrid>
      <w:tr w:rsidR="007439ED" w:rsidRPr="00944CAE" w:rsidTr="00043B31">
        <w:trPr>
          <w:trHeight w:val="435"/>
          <w:tblHeader/>
        </w:trPr>
        <w:tc>
          <w:tcPr>
            <w:tcW w:w="1899" w:type="dxa"/>
            <w:shd w:val="clear" w:color="auto" w:fill="auto"/>
            <w:tcMar>
              <w:top w:w="168" w:type="dxa"/>
              <w:left w:w="240" w:type="dxa"/>
              <w:bottom w:w="192" w:type="dxa"/>
              <w:right w:w="0" w:type="dxa"/>
            </w:tcMar>
            <w:vAlign w:val="center"/>
            <w:hideMark/>
          </w:tcPr>
          <w:p w:rsidR="007439ED" w:rsidRPr="00944CAE" w:rsidRDefault="007439ED" w:rsidP="00CA2DC5">
            <w:pPr>
              <w:rPr>
                <w:rFonts w:ascii="Arial" w:hAnsi="Arial" w:cs="Arial"/>
              </w:rPr>
            </w:pPr>
          </w:p>
        </w:tc>
        <w:tc>
          <w:tcPr>
            <w:tcW w:w="2481" w:type="dxa"/>
            <w:shd w:val="clear" w:color="auto" w:fill="auto"/>
            <w:tcMar>
              <w:top w:w="168" w:type="dxa"/>
              <w:left w:w="120" w:type="dxa"/>
              <w:bottom w:w="192" w:type="dxa"/>
              <w:right w:w="120" w:type="dxa"/>
            </w:tcMar>
            <w:hideMark/>
          </w:tcPr>
          <w:p w:rsidR="007439ED" w:rsidRPr="00944CAE" w:rsidRDefault="007439ED" w:rsidP="00CA2DC5">
            <w:pPr>
              <w:rPr>
                <w:rFonts w:ascii="Arial" w:hAnsi="Arial" w:cs="Arial"/>
              </w:rPr>
            </w:pPr>
            <w:r w:rsidRPr="00944CAE">
              <w:rPr>
                <w:rFonts w:ascii="Arial" w:hAnsi="Arial" w:cs="Arial"/>
              </w:rPr>
              <w:t>Yes</w:t>
            </w:r>
          </w:p>
        </w:tc>
        <w:tc>
          <w:tcPr>
            <w:tcW w:w="2481" w:type="dxa"/>
            <w:shd w:val="clear" w:color="auto" w:fill="auto"/>
            <w:tcMar>
              <w:top w:w="168" w:type="dxa"/>
              <w:left w:w="120" w:type="dxa"/>
              <w:bottom w:w="192" w:type="dxa"/>
              <w:right w:w="120" w:type="dxa"/>
            </w:tcMar>
            <w:hideMark/>
          </w:tcPr>
          <w:p w:rsidR="007439ED" w:rsidRPr="00944CAE" w:rsidRDefault="007439ED" w:rsidP="00CA2DC5">
            <w:pPr>
              <w:rPr>
                <w:rFonts w:ascii="Arial" w:hAnsi="Arial" w:cs="Arial"/>
              </w:rPr>
            </w:pPr>
            <w:r w:rsidRPr="00944CAE">
              <w:rPr>
                <w:rFonts w:ascii="Arial" w:hAnsi="Arial" w:cs="Arial"/>
              </w:rPr>
              <w:t>No</w:t>
            </w:r>
          </w:p>
        </w:tc>
        <w:tc>
          <w:tcPr>
            <w:tcW w:w="2481" w:type="dxa"/>
            <w:shd w:val="clear" w:color="auto" w:fill="auto"/>
            <w:tcMar>
              <w:top w:w="168" w:type="dxa"/>
              <w:left w:w="120" w:type="dxa"/>
              <w:bottom w:w="192" w:type="dxa"/>
              <w:right w:w="120" w:type="dxa"/>
            </w:tcMar>
            <w:hideMark/>
          </w:tcPr>
          <w:p w:rsidR="007439ED" w:rsidRPr="00944CAE" w:rsidRDefault="007439ED" w:rsidP="00CA2DC5">
            <w:pPr>
              <w:rPr>
                <w:rFonts w:ascii="Arial" w:hAnsi="Arial" w:cs="Arial"/>
              </w:rPr>
            </w:pPr>
            <w:r w:rsidRPr="00944CAE">
              <w:rPr>
                <w:rFonts w:ascii="Arial" w:hAnsi="Arial" w:cs="Arial"/>
              </w:rPr>
              <w:t>Unsure</w:t>
            </w:r>
          </w:p>
        </w:tc>
      </w:tr>
      <w:tr w:rsidR="007439ED" w:rsidRPr="00944CAE" w:rsidTr="00043B31">
        <w:trPr>
          <w:trHeight w:val="1234"/>
        </w:trPr>
        <w:tc>
          <w:tcPr>
            <w:tcW w:w="1899" w:type="dxa"/>
            <w:tcBorders>
              <w:top w:val="single" w:sz="6" w:space="0" w:color="DDDDDD"/>
            </w:tcBorders>
            <w:shd w:val="clear" w:color="auto" w:fill="auto"/>
            <w:tcMar>
              <w:top w:w="168" w:type="dxa"/>
              <w:left w:w="240" w:type="dxa"/>
              <w:bottom w:w="192" w:type="dxa"/>
              <w:right w:w="0" w:type="dxa"/>
            </w:tcMar>
            <w:vAlign w:val="center"/>
            <w:hideMark/>
          </w:tcPr>
          <w:p w:rsidR="007439ED" w:rsidRPr="00944CAE" w:rsidRDefault="007439ED" w:rsidP="00CA2DC5">
            <w:pPr>
              <w:rPr>
                <w:rFonts w:ascii="Arial" w:hAnsi="Arial" w:cs="Arial"/>
              </w:rPr>
            </w:pPr>
            <w:r w:rsidRPr="00944CAE">
              <w:rPr>
                <w:rFonts w:ascii="Arial" w:hAnsi="Arial" w:cs="Arial"/>
              </w:rPr>
              <w:t>Should the early years national funding formula include an area cost adjustment?</w:t>
            </w:r>
          </w:p>
        </w:tc>
        <w:tc>
          <w:tcPr>
            <w:tcW w:w="0" w:type="auto"/>
            <w:tcBorders>
              <w:top w:val="single" w:sz="6" w:space="0" w:color="DDDDDD"/>
            </w:tcBorders>
            <w:shd w:val="clear" w:color="auto" w:fill="auto"/>
            <w:tcMar>
              <w:top w:w="168" w:type="dxa"/>
              <w:left w:w="120" w:type="dxa"/>
              <w:bottom w:w="192" w:type="dxa"/>
              <w:right w:w="120" w:type="dxa"/>
            </w:tcMar>
            <w:vAlign w:val="center"/>
            <w:hideMark/>
          </w:tcPr>
          <w:p w:rsidR="007439ED" w:rsidRPr="00944CAE" w:rsidRDefault="007439ED" w:rsidP="00CA2DC5">
            <w:pPr>
              <w:rPr>
                <w:rFonts w:ascii="Arial" w:hAnsi="Arial" w:cs="Arial"/>
              </w:rPr>
            </w:pPr>
            <w:r w:rsidRPr="00944CAE">
              <w:rPr>
                <w:rFonts w:ascii="Arial" w:hAnsi="Arial" w:cs="Arial"/>
              </w:rPr>
              <w:object w:dxaOrig="1440" w:dyaOrig="1440" w14:anchorId="50CE21F3">
                <v:shape id="_x0000_i1248" type="#_x0000_t75" style="width:20.1pt;height:17.6pt" o:ole="">
                  <v:imagedata r:id="rId8" o:title=""/>
                </v:shape>
                <w:control r:id="rId28" w:name="DefaultOcxName182" w:shapeid="_x0000_i1248"/>
              </w:object>
            </w:r>
          </w:p>
        </w:tc>
        <w:tc>
          <w:tcPr>
            <w:tcW w:w="0" w:type="auto"/>
            <w:tcBorders>
              <w:top w:val="single" w:sz="6" w:space="0" w:color="DDDDDD"/>
            </w:tcBorders>
            <w:shd w:val="clear" w:color="auto" w:fill="auto"/>
            <w:tcMar>
              <w:top w:w="168" w:type="dxa"/>
              <w:left w:w="120" w:type="dxa"/>
              <w:bottom w:w="192" w:type="dxa"/>
              <w:right w:w="120" w:type="dxa"/>
            </w:tcMar>
            <w:vAlign w:val="center"/>
            <w:hideMark/>
          </w:tcPr>
          <w:p w:rsidR="007439ED" w:rsidRPr="00944CAE" w:rsidRDefault="007439ED" w:rsidP="00CA2DC5">
            <w:pPr>
              <w:rPr>
                <w:rFonts w:ascii="Arial" w:hAnsi="Arial" w:cs="Arial"/>
              </w:rPr>
            </w:pPr>
            <w:r w:rsidRPr="00944CAE">
              <w:rPr>
                <w:rFonts w:ascii="Arial" w:hAnsi="Arial" w:cs="Arial"/>
              </w:rPr>
              <w:object w:dxaOrig="1440" w:dyaOrig="1440" w14:anchorId="072DD64E">
                <v:shape id="_x0000_i1251" type="#_x0000_t75" style="width:20.1pt;height:17.6pt" o:ole="">
                  <v:imagedata r:id="rId10" o:title=""/>
                </v:shape>
                <w:control r:id="rId29" w:name="DefaultOcxName192" w:shapeid="_x0000_i1251"/>
              </w:object>
            </w:r>
          </w:p>
        </w:tc>
        <w:tc>
          <w:tcPr>
            <w:tcW w:w="0" w:type="auto"/>
            <w:tcBorders>
              <w:top w:val="single" w:sz="6" w:space="0" w:color="DDDDDD"/>
            </w:tcBorders>
            <w:shd w:val="clear" w:color="auto" w:fill="auto"/>
            <w:tcMar>
              <w:top w:w="168" w:type="dxa"/>
              <w:left w:w="120" w:type="dxa"/>
              <w:bottom w:w="192" w:type="dxa"/>
              <w:right w:w="120" w:type="dxa"/>
            </w:tcMar>
            <w:vAlign w:val="center"/>
            <w:hideMark/>
          </w:tcPr>
          <w:p w:rsidR="007439ED" w:rsidRPr="00944CAE" w:rsidRDefault="007439ED" w:rsidP="00CA2DC5">
            <w:pPr>
              <w:rPr>
                <w:rFonts w:ascii="Arial" w:hAnsi="Arial" w:cs="Arial"/>
              </w:rPr>
            </w:pPr>
            <w:r w:rsidRPr="00944CAE">
              <w:rPr>
                <w:rFonts w:ascii="Arial" w:hAnsi="Arial" w:cs="Arial"/>
              </w:rPr>
              <w:object w:dxaOrig="1440" w:dyaOrig="1440" w14:anchorId="3A386926">
                <v:shape id="_x0000_i1254" type="#_x0000_t75" style="width:20.1pt;height:17.6pt" o:ole="">
                  <v:imagedata r:id="rId10" o:title=""/>
                </v:shape>
                <w:control r:id="rId30" w:name="DefaultOcxName202" w:shapeid="_x0000_i1254"/>
              </w:object>
            </w:r>
          </w:p>
        </w:tc>
      </w:tr>
      <w:tr w:rsidR="007439ED" w:rsidRPr="00944CAE" w:rsidTr="00043B31">
        <w:trPr>
          <w:trHeight w:val="2061"/>
        </w:trPr>
        <w:tc>
          <w:tcPr>
            <w:tcW w:w="1899" w:type="dxa"/>
            <w:tcBorders>
              <w:top w:val="single" w:sz="6" w:space="0" w:color="DDDDDD"/>
            </w:tcBorders>
            <w:shd w:val="clear" w:color="auto" w:fill="auto"/>
            <w:tcMar>
              <w:top w:w="168" w:type="dxa"/>
              <w:left w:w="240" w:type="dxa"/>
              <w:bottom w:w="192" w:type="dxa"/>
              <w:right w:w="0" w:type="dxa"/>
            </w:tcMar>
            <w:vAlign w:val="center"/>
            <w:hideMark/>
          </w:tcPr>
          <w:p w:rsidR="007439ED" w:rsidRPr="00944CAE" w:rsidRDefault="007439ED" w:rsidP="00CA2DC5">
            <w:pPr>
              <w:rPr>
                <w:rFonts w:ascii="Arial" w:hAnsi="Arial" w:cs="Arial"/>
              </w:rPr>
            </w:pPr>
            <w:r w:rsidRPr="00944CAE">
              <w:rPr>
                <w:rFonts w:ascii="Arial" w:hAnsi="Arial" w:cs="Arial"/>
              </w:rPr>
              <w:t>Should that adjustment be based on staff costs (based on the General Labour Market measure) and on nursery premises costs (based on rateable values)?</w:t>
            </w:r>
          </w:p>
        </w:tc>
        <w:tc>
          <w:tcPr>
            <w:tcW w:w="0" w:type="auto"/>
            <w:tcBorders>
              <w:top w:val="single" w:sz="6" w:space="0" w:color="DDDDDD"/>
            </w:tcBorders>
            <w:shd w:val="clear" w:color="auto" w:fill="auto"/>
            <w:tcMar>
              <w:top w:w="168" w:type="dxa"/>
              <w:left w:w="120" w:type="dxa"/>
              <w:bottom w:w="192" w:type="dxa"/>
              <w:right w:w="120" w:type="dxa"/>
            </w:tcMar>
            <w:vAlign w:val="center"/>
            <w:hideMark/>
          </w:tcPr>
          <w:p w:rsidR="007439ED" w:rsidRPr="00944CAE" w:rsidRDefault="007439ED" w:rsidP="00CA2DC5">
            <w:pPr>
              <w:rPr>
                <w:rFonts w:ascii="Arial" w:hAnsi="Arial" w:cs="Arial"/>
              </w:rPr>
            </w:pPr>
            <w:r w:rsidRPr="00944CAE">
              <w:rPr>
                <w:rFonts w:ascii="Arial" w:hAnsi="Arial" w:cs="Arial"/>
              </w:rPr>
              <w:object w:dxaOrig="1440" w:dyaOrig="1440" w14:anchorId="4213ED08">
                <v:shape id="_x0000_i1257" type="#_x0000_t75" style="width:20.1pt;height:17.6pt" o:ole="">
                  <v:imagedata r:id="rId10" o:title=""/>
                </v:shape>
                <w:control r:id="rId31" w:name="DefaultOcxName211" w:shapeid="_x0000_i1257"/>
              </w:object>
            </w:r>
          </w:p>
        </w:tc>
        <w:tc>
          <w:tcPr>
            <w:tcW w:w="0" w:type="auto"/>
            <w:tcBorders>
              <w:top w:val="single" w:sz="6" w:space="0" w:color="DDDDDD"/>
            </w:tcBorders>
            <w:shd w:val="clear" w:color="auto" w:fill="auto"/>
            <w:tcMar>
              <w:top w:w="168" w:type="dxa"/>
              <w:left w:w="120" w:type="dxa"/>
              <w:bottom w:w="192" w:type="dxa"/>
              <w:right w:w="120" w:type="dxa"/>
            </w:tcMar>
            <w:vAlign w:val="center"/>
            <w:hideMark/>
          </w:tcPr>
          <w:p w:rsidR="007439ED" w:rsidRPr="00944CAE" w:rsidRDefault="007439ED" w:rsidP="00CA2DC5">
            <w:pPr>
              <w:rPr>
                <w:rFonts w:ascii="Arial" w:hAnsi="Arial" w:cs="Arial"/>
              </w:rPr>
            </w:pPr>
            <w:r w:rsidRPr="00944CAE">
              <w:rPr>
                <w:rFonts w:ascii="Arial" w:hAnsi="Arial" w:cs="Arial"/>
              </w:rPr>
              <w:object w:dxaOrig="1440" w:dyaOrig="1440" w14:anchorId="628833F2">
                <v:shape id="_x0000_i1260" type="#_x0000_t75" style="width:20.1pt;height:17.6pt" o:ole="">
                  <v:imagedata r:id="rId10" o:title=""/>
                </v:shape>
                <w:control r:id="rId32" w:name="DefaultOcxName222" w:shapeid="_x0000_i1260"/>
              </w:object>
            </w:r>
          </w:p>
        </w:tc>
        <w:tc>
          <w:tcPr>
            <w:tcW w:w="0" w:type="auto"/>
            <w:tcBorders>
              <w:top w:val="single" w:sz="6" w:space="0" w:color="DDDDDD"/>
            </w:tcBorders>
            <w:shd w:val="clear" w:color="auto" w:fill="auto"/>
            <w:tcMar>
              <w:top w:w="168" w:type="dxa"/>
              <w:left w:w="120" w:type="dxa"/>
              <w:bottom w:w="192" w:type="dxa"/>
              <w:right w:w="120" w:type="dxa"/>
            </w:tcMar>
            <w:vAlign w:val="center"/>
            <w:hideMark/>
          </w:tcPr>
          <w:p w:rsidR="007439ED" w:rsidRPr="00944CAE" w:rsidRDefault="007439ED" w:rsidP="00CA2DC5">
            <w:pPr>
              <w:rPr>
                <w:rFonts w:ascii="Arial" w:hAnsi="Arial" w:cs="Arial"/>
              </w:rPr>
            </w:pPr>
            <w:r w:rsidRPr="00944CAE">
              <w:rPr>
                <w:rFonts w:ascii="Arial" w:hAnsi="Arial" w:cs="Arial"/>
              </w:rPr>
              <w:object w:dxaOrig="1440" w:dyaOrig="1440" w14:anchorId="36A63ED0">
                <v:shape id="_x0000_i1263" type="#_x0000_t75" style="width:20.1pt;height:17.6pt" o:ole="">
                  <v:imagedata r:id="rId8" o:title=""/>
                </v:shape>
                <w:control r:id="rId33" w:name="DefaultOcxName232" w:shapeid="_x0000_i1263"/>
              </w:object>
            </w:r>
          </w:p>
        </w:tc>
      </w:tr>
    </w:tbl>
    <w:p w:rsidR="007439ED" w:rsidRPr="00944CAE" w:rsidRDefault="007439ED" w:rsidP="007439ED">
      <w:pPr>
        <w:rPr>
          <w:rFonts w:ascii="Arial" w:hAnsi="Arial" w:cs="Arial"/>
        </w:rPr>
      </w:pPr>
    </w:p>
    <w:p w:rsidR="007439ED" w:rsidRPr="00944CAE" w:rsidRDefault="007439ED" w:rsidP="007439ED">
      <w:pPr>
        <w:rPr>
          <w:rFonts w:ascii="Arial" w:hAnsi="Arial" w:cs="Arial"/>
          <w:b/>
        </w:rPr>
      </w:pPr>
    </w:p>
    <w:p w:rsidR="007439ED" w:rsidRPr="00944CAE" w:rsidRDefault="007439ED" w:rsidP="007439ED">
      <w:pPr>
        <w:rPr>
          <w:rFonts w:ascii="Arial" w:hAnsi="Arial" w:cs="Arial"/>
        </w:rPr>
      </w:pPr>
      <w:r w:rsidRPr="00944CAE">
        <w:rPr>
          <w:rFonts w:ascii="Arial" w:hAnsi="Arial" w:cs="Arial"/>
          <w:b/>
        </w:rPr>
        <w:t>13   If you have any comments or recommendations for alternative metrics or weightings to be used in the early years national funding formula, please explain here</w:t>
      </w:r>
      <w:r w:rsidRPr="00944CAE">
        <w:rPr>
          <w:rFonts w:ascii="Arial" w:hAnsi="Arial" w:cs="Arial"/>
        </w:rPr>
        <w:t>:</w:t>
      </w:r>
    </w:p>
    <w:p w:rsidR="007439ED" w:rsidRPr="00944CAE" w:rsidRDefault="007439ED" w:rsidP="007439ED">
      <w:pPr>
        <w:rPr>
          <w:rFonts w:ascii="Arial" w:hAnsi="Arial" w:cs="Arial"/>
        </w:rPr>
      </w:pPr>
      <w:r w:rsidRPr="00944CAE">
        <w:rPr>
          <w:rFonts w:ascii="Arial" w:hAnsi="Arial" w:cs="Arial"/>
        </w:rPr>
        <w:t>We generally support the proposed metrics. In particular, we welcome the efforts made to target support for children with SEND as well as those from disadvantaged backgrounds. We also support the recognition of staff costs, and how they can contribute to large geographical cost differentials.</w:t>
      </w:r>
    </w:p>
    <w:p w:rsidR="007439ED" w:rsidRPr="00944CAE" w:rsidRDefault="007439ED" w:rsidP="007439ED">
      <w:pPr>
        <w:rPr>
          <w:rFonts w:ascii="Arial" w:hAnsi="Arial" w:cs="Arial"/>
        </w:rPr>
      </w:pPr>
      <w:r w:rsidRPr="00944CAE">
        <w:rPr>
          <w:rFonts w:ascii="Arial" w:hAnsi="Arial" w:cs="Arial"/>
        </w:rPr>
        <w:t xml:space="preserve">However, any model for staff costs should also include the cost of quality in staffing. It is only high quality early education that has a positive effect on children’s outcomes, while average </w:t>
      </w:r>
      <w:r w:rsidRPr="00944CAE">
        <w:rPr>
          <w:rFonts w:ascii="Arial" w:hAnsi="Arial" w:cs="Arial"/>
        </w:rPr>
        <w:lastRenderedPageBreak/>
        <w:t>quality adds no value, and poor quality risks jeopardising children’s wellbeing.</w:t>
      </w:r>
      <w:r w:rsidRPr="00944CAE">
        <w:rPr>
          <w:rStyle w:val="FootnoteReference"/>
          <w:rFonts w:ascii="Arial" w:hAnsi="Arial" w:cs="Arial"/>
        </w:rPr>
        <w:footnoteReference w:id="1"/>
      </w:r>
      <w:r w:rsidRPr="00944CAE">
        <w:rPr>
          <w:rFonts w:ascii="Arial" w:hAnsi="Arial" w:cs="Arial"/>
        </w:rPr>
        <w:t xml:space="preserve"> </w:t>
      </w:r>
      <w:r w:rsidR="00345B0E" w:rsidRPr="00944CAE">
        <w:rPr>
          <w:rFonts w:ascii="Arial" w:hAnsi="Arial" w:cs="Arial"/>
        </w:rPr>
        <w:t xml:space="preserve">There is evidence that staff wages are a significant influence on quality in early years provision, with a </w:t>
      </w:r>
      <w:r w:rsidRPr="00944CAE">
        <w:rPr>
          <w:rFonts w:ascii="Arial" w:hAnsi="Arial" w:cs="Arial"/>
        </w:rPr>
        <w:t xml:space="preserve">£1 </w:t>
      </w:r>
      <w:r w:rsidR="00345B0E" w:rsidRPr="00944CAE">
        <w:rPr>
          <w:rFonts w:ascii="Arial" w:hAnsi="Arial" w:cs="Arial"/>
        </w:rPr>
        <w:t>difference in average hourly wages between</w:t>
      </w:r>
      <w:r w:rsidRPr="00944CAE">
        <w:rPr>
          <w:rFonts w:ascii="Arial" w:hAnsi="Arial" w:cs="Arial"/>
        </w:rPr>
        <w:t xml:space="preserve"> ‘good’ </w:t>
      </w:r>
      <w:r w:rsidR="00345B0E" w:rsidRPr="00944CAE">
        <w:rPr>
          <w:rFonts w:ascii="Arial" w:hAnsi="Arial" w:cs="Arial"/>
        </w:rPr>
        <w:t>and</w:t>
      </w:r>
      <w:r w:rsidRPr="00944CAE">
        <w:rPr>
          <w:rFonts w:ascii="Arial" w:hAnsi="Arial" w:cs="Arial"/>
        </w:rPr>
        <w:t xml:space="preserve"> </w:t>
      </w:r>
      <w:r w:rsidR="00345B0E" w:rsidRPr="00944CAE">
        <w:rPr>
          <w:rFonts w:ascii="Arial" w:hAnsi="Arial" w:cs="Arial"/>
        </w:rPr>
        <w:t>‘</w:t>
      </w:r>
      <w:r w:rsidRPr="00944CAE">
        <w:rPr>
          <w:rFonts w:ascii="Arial" w:hAnsi="Arial" w:cs="Arial"/>
        </w:rPr>
        <w:t>outstanding</w:t>
      </w:r>
      <w:r w:rsidR="00345B0E" w:rsidRPr="00944CAE">
        <w:rPr>
          <w:rFonts w:ascii="Arial" w:hAnsi="Arial" w:cs="Arial"/>
        </w:rPr>
        <w:t>’ settings</w:t>
      </w:r>
      <w:r w:rsidRPr="00944CAE">
        <w:rPr>
          <w:rFonts w:ascii="Arial" w:hAnsi="Arial" w:cs="Arial"/>
        </w:rPr>
        <w:t>.</w:t>
      </w:r>
      <w:r w:rsidRPr="00944CAE">
        <w:rPr>
          <w:rStyle w:val="FootnoteReference"/>
          <w:rFonts w:ascii="Arial" w:hAnsi="Arial" w:cs="Arial"/>
        </w:rPr>
        <w:footnoteReference w:id="2"/>
      </w:r>
      <w:r w:rsidR="00345B0E" w:rsidRPr="00944CAE">
        <w:rPr>
          <w:rFonts w:ascii="Arial" w:hAnsi="Arial" w:cs="Arial"/>
        </w:rPr>
        <w:t xml:space="preserve"> </w:t>
      </w:r>
    </w:p>
    <w:p w:rsidR="00AD5F20" w:rsidRPr="00944CAE" w:rsidRDefault="007439ED" w:rsidP="007439ED">
      <w:pPr>
        <w:rPr>
          <w:rFonts w:ascii="Arial" w:hAnsi="Arial" w:cs="Arial"/>
        </w:rPr>
      </w:pPr>
      <w:r w:rsidRPr="00944CAE">
        <w:rPr>
          <w:rFonts w:ascii="Arial" w:hAnsi="Arial" w:cs="Arial"/>
        </w:rPr>
        <w:t xml:space="preserve">We feel unable to fully answer question 11 with regards to the proposed weightings because </w:t>
      </w:r>
      <w:r w:rsidR="00345B0E" w:rsidRPr="00944CAE">
        <w:rPr>
          <w:rFonts w:ascii="Arial" w:hAnsi="Arial" w:cs="Arial"/>
        </w:rPr>
        <w:t>we do</w:t>
      </w:r>
      <w:r w:rsidRPr="00944CAE">
        <w:rPr>
          <w:rFonts w:ascii="Arial" w:hAnsi="Arial" w:cs="Arial"/>
        </w:rPr>
        <w:t xml:space="preserve"> not</w:t>
      </w:r>
      <w:r w:rsidR="00345B0E" w:rsidRPr="00944CAE">
        <w:rPr>
          <w:rFonts w:ascii="Arial" w:hAnsi="Arial" w:cs="Arial"/>
        </w:rPr>
        <w:t xml:space="preserve"> have</w:t>
      </w:r>
      <w:r w:rsidRPr="00944CAE">
        <w:rPr>
          <w:rFonts w:ascii="Arial" w:hAnsi="Arial" w:cs="Arial"/>
        </w:rPr>
        <w:t xml:space="preserve"> enough information about how these levels were calculated</w:t>
      </w:r>
      <w:r w:rsidR="00345B0E" w:rsidRPr="00944CAE">
        <w:rPr>
          <w:rFonts w:ascii="Arial" w:hAnsi="Arial" w:cs="Arial"/>
        </w:rPr>
        <w:t xml:space="preserve"> and whether they are appropriate given local patterns of need</w:t>
      </w:r>
      <w:r w:rsidRPr="00944CAE">
        <w:rPr>
          <w:rFonts w:ascii="Arial" w:hAnsi="Arial" w:cs="Arial"/>
        </w:rPr>
        <w:t>. It is vital that any funding levels need to be decided on a solid evidence base, and that decisions are both transparent and responsive to new data.</w:t>
      </w:r>
    </w:p>
    <w:p w:rsidR="007439ED" w:rsidRPr="00944CAE" w:rsidRDefault="00345B0E" w:rsidP="007439ED">
      <w:pPr>
        <w:rPr>
          <w:rFonts w:ascii="Arial" w:hAnsi="Arial" w:cs="Arial"/>
        </w:rPr>
      </w:pPr>
      <w:r w:rsidRPr="00944CAE">
        <w:rPr>
          <w:rFonts w:ascii="Arial" w:hAnsi="Arial" w:cs="Arial"/>
        </w:rPr>
        <w:t xml:space="preserve">National allocation for free early education and childcare should </w:t>
      </w:r>
      <w:r w:rsidR="007439ED" w:rsidRPr="00944CAE">
        <w:rPr>
          <w:rFonts w:ascii="Arial" w:hAnsi="Arial" w:cs="Arial"/>
        </w:rPr>
        <w:t xml:space="preserve">include additional capital funding to support market development. An hourly rate passed through to providers is unable to support large one-off investments necessary to </w:t>
      </w:r>
      <w:r w:rsidRPr="00944CAE">
        <w:rPr>
          <w:rFonts w:ascii="Arial" w:hAnsi="Arial" w:cs="Arial"/>
        </w:rPr>
        <w:t xml:space="preserve">address local </w:t>
      </w:r>
      <w:r w:rsidR="007439ED" w:rsidRPr="00944CAE">
        <w:rPr>
          <w:rFonts w:ascii="Arial" w:hAnsi="Arial" w:cs="Arial"/>
        </w:rPr>
        <w:t>sufficiency</w:t>
      </w:r>
      <w:r w:rsidRPr="00944CAE">
        <w:rPr>
          <w:rFonts w:ascii="Arial" w:hAnsi="Arial" w:cs="Arial"/>
        </w:rPr>
        <w:t xml:space="preserve"> challenges. We are concerned that the proposed methodology includes no consideration of local sufficiency challenges, particularly in light of</w:t>
      </w:r>
      <w:r w:rsidR="00D64496" w:rsidRPr="00944CAE">
        <w:rPr>
          <w:rFonts w:ascii="Arial" w:hAnsi="Arial" w:cs="Arial"/>
        </w:rPr>
        <w:t xml:space="preserve"> the roll out of the 30 hour offer and the impact of a new allocation methodology on local authorities where there is low take-up of the free offer</w:t>
      </w:r>
      <w:r w:rsidRPr="00944CAE">
        <w:rPr>
          <w:rFonts w:ascii="Arial" w:hAnsi="Arial" w:cs="Arial"/>
        </w:rPr>
        <w:t xml:space="preserve">. </w:t>
      </w:r>
      <w:r w:rsidR="0099064C" w:rsidRPr="00944CAE">
        <w:rPr>
          <w:rFonts w:ascii="Arial" w:hAnsi="Arial" w:cs="Arial"/>
        </w:rPr>
        <w:t xml:space="preserve">The proposed structure of local early years funding, with tight constraints on ‘centrally retained’ spending, makes it unclear how local authorities will be expected to extend provision and address sufficiency challenges in future. We would encourage the Department to ensure that these factors are taken into account in order to fairly allocate resources to local authorities to meet policy aims in the early years. </w:t>
      </w:r>
    </w:p>
    <w:p w:rsidR="00DD5E0F" w:rsidRPr="00944CAE" w:rsidRDefault="00DD5E0F" w:rsidP="00DD5E0F">
      <w:pPr>
        <w:spacing w:after="0" w:line="240" w:lineRule="auto"/>
        <w:rPr>
          <w:rFonts w:ascii="Arial" w:eastAsia="Times New Roman" w:hAnsi="Arial" w:cs="Arial"/>
          <w:b/>
          <w:lang w:eastAsia="en-GB"/>
        </w:rPr>
      </w:pPr>
      <w:r w:rsidRPr="00944CAE">
        <w:rPr>
          <w:rFonts w:ascii="Arial" w:eastAsia="Times New Roman" w:hAnsi="Arial" w:cs="Arial"/>
          <w:b/>
          <w:bCs/>
          <w:lang w:eastAsia="en-GB"/>
        </w:rPr>
        <w:t xml:space="preserve">14 </w:t>
      </w:r>
      <w:r w:rsidRPr="00944CAE">
        <w:rPr>
          <w:rFonts w:ascii="Arial" w:eastAsia="Times New Roman" w:hAnsi="Arial" w:cs="Arial"/>
          <w:b/>
          <w:lang w:eastAsia="en-GB"/>
        </w:rPr>
        <w:t>To what extent do you agree with the proposed funding floor limit, so that no local authority would face a reduction in its hourly funding rate of greater than 10%?</w:t>
      </w:r>
    </w:p>
    <w:p w:rsidR="00DD5E0F" w:rsidRPr="00944CAE" w:rsidRDefault="00DD5E0F" w:rsidP="00DD5E0F">
      <w:pPr>
        <w:spacing w:after="0" w:line="240" w:lineRule="auto"/>
        <w:rPr>
          <w:rFonts w:ascii="Arial" w:eastAsia="Times New Roman" w:hAnsi="Arial" w:cs="Arial"/>
          <w:lang w:eastAsia="en-GB"/>
        </w:rPr>
      </w:pPr>
      <w:r w:rsidRPr="00944CAE">
        <w:rPr>
          <w:rFonts w:ascii="Arial" w:eastAsia="Times New Roman" w:hAnsi="Arial" w:cs="Arial"/>
        </w:rPr>
        <w:object w:dxaOrig="1440" w:dyaOrig="1440" w14:anchorId="20153D79">
          <v:shape id="_x0000_i1266" type="#_x0000_t75" style="width:20.1pt;height:17.6pt" o:ole="">
            <v:imagedata r:id="rId10" o:title=""/>
          </v:shape>
          <w:control r:id="rId34" w:name="DefaultOcxName253" w:shapeid="_x0000_i1266"/>
        </w:object>
      </w:r>
      <w:r w:rsidRPr="00944CAE">
        <w:rPr>
          <w:rFonts w:ascii="Arial" w:eastAsia="Times New Roman" w:hAnsi="Arial" w:cs="Arial"/>
          <w:lang w:eastAsia="en-GB"/>
        </w:rPr>
        <w:t>Strongly agree </w:t>
      </w:r>
      <w:r w:rsidRPr="00944CAE">
        <w:rPr>
          <w:rFonts w:ascii="Arial" w:eastAsia="Times New Roman" w:hAnsi="Arial" w:cs="Arial"/>
          <w:lang w:eastAsia="en-GB"/>
        </w:rPr>
        <w:br/>
      </w:r>
      <w:r w:rsidRPr="00944CAE">
        <w:rPr>
          <w:rFonts w:ascii="Arial" w:eastAsia="Times New Roman" w:hAnsi="Arial" w:cs="Arial"/>
        </w:rPr>
        <w:object w:dxaOrig="1440" w:dyaOrig="1440" w14:anchorId="67A84620">
          <v:shape id="_x0000_i1269" type="#_x0000_t75" style="width:20.1pt;height:17.6pt" o:ole="">
            <v:imagedata r:id="rId10" o:title=""/>
          </v:shape>
          <w:control r:id="rId35" w:name="DefaultOcxName262" w:shapeid="_x0000_i1269"/>
        </w:object>
      </w:r>
      <w:r w:rsidRPr="00944CAE">
        <w:rPr>
          <w:rFonts w:ascii="Arial" w:eastAsia="Times New Roman" w:hAnsi="Arial" w:cs="Arial"/>
          <w:lang w:eastAsia="en-GB"/>
        </w:rPr>
        <w:t>Agree </w:t>
      </w:r>
      <w:r w:rsidRPr="00944CAE">
        <w:rPr>
          <w:rFonts w:ascii="Arial" w:eastAsia="Times New Roman" w:hAnsi="Arial" w:cs="Arial"/>
          <w:lang w:eastAsia="en-GB"/>
        </w:rPr>
        <w:br/>
      </w:r>
      <w:r w:rsidRPr="00944CAE">
        <w:rPr>
          <w:rFonts w:ascii="Arial" w:eastAsia="Times New Roman" w:hAnsi="Arial" w:cs="Arial"/>
        </w:rPr>
        <w:object w:dxaOrig="1440" w:dyaOrig="1440" w14:anchorId="5739F6B7">
          <v:shape id="_x0000_i1272" type="#_x0000_t75" style="width:20.1pt;height:17.6pt" o:ole="">
            <v:imagedata r:id="rId10" o:title=""/>
          </v:shape>
          <w:control r:id="rId36" w:name="DefaultOcxName272" w:shapeid="_x0000_i1272"/>
        </w:object>
      </w:r>
      <w:r w:rsidRPr="00944CAE">
        <w:rPr>
          <w:rFonts w:ascii="Arial" w:eastAsia="Times New Roman" w:hAnsi="Arial" w:cs="Arial"/>
          <w:lang w:eastAsia="en-GB"/>
        </w:rPr>
        <w:t>Neither agree nor disagree </w:t>
      </w:r>
      <w:r w:rsidRPr="00944CAE">
        <w:rPr>
          <w:rFonts w:ascii="Arial" w:eastAsia="Times New Roman" w:hAnsi="Arial" w:cs="Arial"/>
          <w:lang w:eastAsia="en-GB"/>
        </w:rPr>
        <w:br/>
      </w:r>
      <w:r w:rsidRPr="00944CAE">
        <w:rPr>
          <w:rFonts w:ascii="Arial" w:eastAsia="Times New Roman" w:hAnsi="Arial" w:cs="Arial"/>
        </w:rPr>
        <w:object w:dxaOrig="1440" w:dyaOrig="1440" w14:anchorId="5FF0659C">
          <v:shape id="_x0000_i1275" type="#_x0000_t75" style="width:20.1pt;height:17.6pt" o:ole="">
            <v:imagedata r:id="rId8" o:title=""/>
          </v:shape>
          <w:control r:id="rId37" w:name="DefaultOcxName282" w:shapeid="_x0000_i1275"/>
        </w:object>
      </w:r>
      <w:r w:rsidRPr="00944CAE">
        <w:rPr>
          <w:rFonts w:ascii="Arial" w:eastAsia="Times New Roman" w:hAnsi="Arial" w:cs="Arial"/>
          <w:lang w:eastAsia="en-GB"/>
        </w:rPr>
        <w:t>Disagree </w:t>
      </w:r>
      <w:r w:rsidRPr="00944CAE">
        <w:rPr>
          <w:rFonts w:ascii="Arial" w:eastAsia="Times New Roman" w:hAnsi="Arial" w:cs="Arial"/>
          <w:lang w:eastAsia="en-GB"/>
        </w:rPr>
        <w:br/>
      </w:r>
      <w:r w:rsidRPr="00944CAE">
        <w:rPr>
          <w:rFonts w:ascii="Arial" w:eastAsia="Times New Roman" w:hAnsi="Arial" w:cs="Arial"/>
        </w:rPr>
        <w:object w:dxaOrig="1440" w:dyaOrig="1440" w14:anchorId="578A7445">
          <v:shape id="_x0000_i1278" type="#_x0000_t75" style="width:20.1pt;height:17.6pt" o:ole="">
            <v:imagedata r:id="rId10" o:title=""/>
          </v:shape>
          <w:control r:id="rId38" w:name="DefaultOcxName292" w:shapeid="_x0000_i1278"/>
        </w:object>
      </w:r>
      <w:r w:rsidRPr="00944CAE">
        <w:rPr>
          <w:rFonts w:ascii="Arial" w:eastAsia="Times New Roman" w:hAnsi="Arial" w:cs="Arial"/>
          <w:lang w:eastAsia="en-GB"/>
        </w:rPr>
        <w:t>Strongly disagree </w:t>
      </w:r>
    </w:p>
    <w:p w:rsidR="0000694D" w:rsidRPr="00944CAE" w:rsidRDefault="0000694D" w:rsidP="00DD5E0F">
      <w:pPr>
        <w:spacing w:after="0" w:line="240" w:lineRule="auto"/>
        <w:rPr>
          <w:rFonts w:ascii="Arial" w:eastAsia="Times New Roman" w:hAnsi="Arial" w:cs="Arial"/>
          <w:lang w:eastAsia="en-GB"/>
        </w:rPr>
      </w:pPr>
    </w:p>
    <w:p w:rsidR="00CA2DC5" w:rsidRPr="00944CAE" w:rsidRDefault="00CA2DC5" w:rsidP="00CA2DC5">
      <w:pPr>
        <w:spacing w:after="0" w:line="240" w:lineRule="auto"/>
        <w:rPr>
          <w:rFonts w:ascii="Arial" w:eastAsia="Times New Roman" w:hAnsi="Arial" w:cs="Arial"/>
          <w:b/>
          <w:lang w:eastAsia="en-GB"/>
        </w:rPr>
      </w:pPr>
      <w:r w:rsidRPr="00944CAE">
        <w:rPr>
          <w:rFonts w:ascii="Arial" w:eastAsia="Times New Roman" w:hAnsi="Arial" w:cs="Arial"/>
          <w:b/>
          <w:bCs/>
          <w:lang w:eastAsia="en-GB"/>
        </w:rPr>
        <w:t>15</w:t>
      </w:r>
      <w:r w:rsidR="00F91DDF" w:rsidRPr="00944CAE">
        <w:rPr>
          <w:rFonts w:ascii="Arial" w:eastAsia="Times New Roman" w:hAnsi="Arial" w:cs="Arial"/>
          <w:b/>
          <w:bCs/>
          <w:color w:val="444444"/>
          <w:lang w:eastAsia="en-GB"/>
        </w:rPr>
        <w:t xml:space="preserve"> </w:t>
      </w:r>
      <w:r w:rsidRPr="00944CAE">
        <w:rPr>
          <w:rFonts w:ascii="Arial" w:eastAsia="Times New Roman" w:hAnsi="Arial" w:cs="Arial"/>
          <w:b/>
          <w:color w:val="000000"/>
          <w:lang w:eastAsia="en-GB"/>
        </w:rPr>
        <w:t>To implement the increased hourly rate for the two-year old free entitlement...</w:t>
      </w:r>
    </w:p>
    <w:tbl>
      <w:tblPr>
        <w:tblW w:w="9161" w:type="dxa"/>
        <w:tblCellMar>
          <w:top w:w="15" w:type="dxa"/>
          <w:left w:w="15" w:type="dxa"/>
          <w:bottom w:w="15" w:type="dxa"/>
          <w:right w:w="15" w:type="dxa"/>
        </w:tblCellMar>
        <w:tblLook w:val="04A0" w:firstRow="1" w:lastRow="0" w:firstColumn="1" w:lastColumn="0" w:noHBand="0" w:noVBand="1"/>
      </w:tblPr>
      <w:tblGrid>
        <w:gridCol w:w="1862"/>
        <w:gridCol w:w="2433"/>
        <w:gridCol w:w="2433"/>
        <w:gridCol w:w="2433"/>
      </w:tblGrid>
      <w:tr w:rsidR="00CA2DC5" w:rsidRPr="00944CAE" w:rsidTr="00043B31">
        <w:trPr>
          <w:trHeight w:val="338"/>
          <w:tblHeader/>
        </w:trPr>
        <w:tc>
          <w:tcPr>
            <w:tcW w:w="1862" w:type="dxa"/>
            <w:shd w:val="clear" w:color="auto" w:fill="auto"/>
            <w:tcMar>
              <w:top w:w="168" w:type="dxa"/>
              <w:left w:w="240" w:type="dxa"/>
              <w:bottom w:w="192" w:type="dxa"/>
              <w:right w:w="0" w:type="dxa"/>
            </w:tcMar>
            <w:vAlign w:val="center"/>
            <w:hideMark/>
          </w:tcPr>
          <w:p w:rsidR="00CA2DC5" w:rsidRPr="00944CAE" w:rsidRDefault="00CA2DC5" w:rsidP="00CA2DC5">
            <w:pPr>
              <w:spacing w:after="0" w:line="312" w:lineRule="atLeast"/>
              <w:rPr>
                <w:rFonts w:ascii="Arial" w:eastAsia="Times New Roman" w:hAnsi="Arial" w:cs="Arial"/>
                <w:color w:val="666666"/>
                <w:sz w:val="24"/>
                <w:szCs w:val="24"/>
                <w:lang w:eastAsia="en-GB"/>
              </w:rPr>
            </w:pPr>
          </w:p>
        </w:tc>
        <w:tc>
          <w:tcPr>
            <w:tcW w:w="2433" w:type="dxa"/>
            <w:shd w:val="clear" w:color="auto" w:fill="auto"/>
            <w:tcMar>
              <w:top w:w="168" w:type="dxa"/>
              <w:left w:w="120" w:type="dxa"/>
              <w:bottom w:w="192" w:type="dxa"/>
              <w:right w:w="120" w:type="dxa"/>
            </w:tcMar>
            <w:hideMark/>
          </w:tcPr>
          <w:p w:rsidR="00CA2DC5" w:rsidRPr="00944CAE" w:rsidRDefault="00CA2DC5" w:rsidP="00CA2DC5">
            <w:pPr>
              <w:spacing w:after="0" w:line="312" w:lineRule="atLeast"/>
              <w:jc w:val="center"/>
              <w:rPr>
                <w:rFonts w:ascii="Arial" w:eastAsia="Times New Roman" w:hAnsi="Arial" w:cs="Arial"/>
                <w:sz w:val="24"/>
                <w:szCs w:val="24"/>
                <w:lang w:eastAsia="en-GB"/>
              </w:rPr>
            </w:pPr>
            <w:r w:rsidRPr="00944CAE">
              <w:rPr>
                <w:rFonts w:ascii="Arial" w:eastAsia="Times New Roman" w:hAnsi="Arial" w:cs="Arial"/>
                <w:sz w:val="24"/>
                <w:szCs w:val="24"/>
                <w:lang w:eastAsia="en-GB"/>
              </w:rPr>
              <w:t>Yes</w:t>
            </w:r>
          </w:p>
        </w:tc>
        <w:tc>
          <w:tcPr>
            <w:tcW w:w="2433" w:type="dxa"/>
            <w:shd w:val="clear" w:color="auto" w:fill="auto"/>
            <w:tcMar>
              <w:top w:w="168" w:type="dxa"/>
              <w:left w:w="120" w:type="dxa"/>
              <w:bottom w:w="192" w:type="dxa"/>
              <w:right w:w="120" w:type="dxa"/>
            </w:tcMar>
            <w:hideMark/>
          </w:tcPr>
          <w:p w:rsidR="00CA2DC5" w:rsidRPr="00944CAE" w:rsidRDefault="00CA2DC5" w:rsidP="00CA2DC5">
            <w:pPr>
              <w:spacing w:after="0" w:line="312" w:lineRule="atLeast"/>
              <w:jc w:val="center"/>
              <w:rPr>
                <w:rFonts w:ascii="Arial" w:eastAsia="Times New Roman" w:hAnsi="Arial" w:cs="Arial"/>
                <w:sz w:val="24"/>
                <w:szCs w:val="24"/>
                <w:lang w:eastAsia="en-GB"/>
              </w:rPr>
            </w:pPr>
            <w:r w:rsidRPr="00944CAE">
              <w:rPr>
                <w:rFonts w:ascii="Arial" w:eastAsia="Times New Roman" w:hAnsi="Arial" w:cs="Arial"/>
                <w:sz w:val="24"/>
                <w:szCs w:val="24"/>
                <w:lang w:eastAsia="en-GB"/>
              </w:rPr>
              <w:t>No</w:t>
            </w:r>
          </w:p>
        </w:tc>
        <w:tc>
          <w:tcPr>
            <w:tcW w:w="2433" w:type="dxa"/>
            <w:shd w:val="clear" w:color="auto" w:fill="auto"/>
            <w:tcMar>
              <w:top w:w="168" w:type="dxa"/>
              <w:left w:w="120" w:type="dxa"/>
              <w:bottom w:w="192" w:type="dxa"/>
              <w:right w:w="120" w:type="dxa"/>
            </w:tcMar>
            <w:hideMark/>
          </w:tcPr>
          <w:p w:rsidR="00CA2DC5" w:rsidRPr="00944CAE" w:rsidRDefault="00CA2DC5" w:rsidP="00CA2DC5">
            <w:pPr>
              <w:spacing w:after="0" w:line="312" w:lineRule="atLeast"/>
              <w:jc w:val="center"/>
              <w:rPr>
                <w:rFonts w:ascii="Arial" w:eastAsia="Times New Roman" w:hAnsi="Arial" w:cs="Arial"/>
                <w:sz w:val="24"/>
                <w:szCs w:val="24"/>
                <w:lang w:eastAsia="en-GB"/>
              </w:rPr>
            </w:pPr>
            <w:r w:rsidRPr="00944CAE">
              <w:rPr>
                <w:rFonts w:ascii="Arial" w:eastAsia="Times New Roman" w:hAnsi="Arial" w:cs="Arial"/>
                <w:sz w:val="24"/>
                <w:szCs w:val="24"/>
                <w:lang w:eastAsia="en-GB"/>
              </w:rPr>
              <w:t>Unsure</w:t>
            </w:r>
          </w:p>
        </w:tc>
      </w:tr>
      <w:tr w:rsidR="00CA2DC5" w:rsidRPr="00944CAE" w:rsidTr="00043B31">
        <w:trPr>
          <w:trHeight w:val="984"/>
        </w:trPr>
        <w:tc>
          <w:tcPr>
            <w:tcW w:w="1862" w:type="dxa"/>
            <w:tcBorders>
              <w:top w:val="single" w:sz="6" w:space="0" w:color="DDDDDD"/>
            </w:tcBorders>
            <w:shd w:val="clear" w:color="auto" w:fill="auto"/>
            <w:tcMar>
              <w:top w:w="168" w:type="dxa"/>
              <w:left w:w="240" w:type="dxa"/>
              <w:bottom w:w="192" w:type="dxa"/>
              <w:right w:w="0" w:type="dxa"/>
            </w:tcMar>
            <w:vAlign w:val="center"/>
            <w:hideMark/>
          </w:tcPr>
          <w:p w:rsidR="00CA2DC5" w:rsidRPr="00944CAE" w:rsidRDefault="00CA2DC5" w:rsidP="00CA2DC5">
            <w:pPr>
              <w:spacing w:after="0" w:line="312" w:lineRule="atLeast"/>
              <w:rPr>
                <w:rFonts w:ascii="Arial" w:eastAsia="Times New Roman" w:hAnsi="Arial" w:cs="Arial"/>
                <w:color w:val="666666"/>
                <w:sz w:val="24"/>
                <w:szCs w:val="24"/>
                <w:lang w:eastAsia="en-GB"/>
              </w:rPr>
            </w:pPr>
            <w:r w:rsidRPr="00944CAE">
              <w:rPr>
                <w:rFonts w:ascii="Arial" w:eastAsia="Times New Roman" w:hAnsi="Arial" w:cs="Arial"/>
                <w:color w:val="666666"/>
                <w:sz w:val="24"/>
                <w:szCs w:val="24"/>
                <w:lang w:eastAsia="en-GB"/>
              </w:rPr>
              <w:t>Should we retain the current two-year-old funding formula?</w:t>
            </w:r>
          </w:p>
        </w:tc>
        <w:tc>
          <w:tcPr>
            <w:tcW w:w="0" w:type="auto"/>
            <w:tcBorders>
              <w:top w:val="single" w:sz="6" w:space="0" w:color="DDDDDD"/>
            </w:tcBorders>
            <w:shd w:val="clear" w:color="auto" w:fill="auto"/>
            <w:tcMar>
              <w:top w:w="168" w:type="dxa"/>
              <w:left w:w="120" w:type="dxa"/>
              <w:bottom w:w="192" w:type="dxa"/>
              <w:right w:w="120" w:type="dxa"/>
            </w:tcMar>
            <w:vAlign w:val="center"/>
            <w:hideMark/>
          </w:tcPr>
          <w:p w:rsidR="00CA2DC5" w:rsidRPr="00944CAE" w:rsidRDefault="00CA2DC5" w:rsidP="00CA2DC5">
            <w:pPr>
              <w:spacing w:after="0" w:line="312" w:lineRule="atLeast"/>
              <w:rPr>
                <w:rFonts w:ascii="Arial" w:eastAsia="Times New Roman" w:hAnsi="Arial" w:cs="Arial"/>
                <w:sz w:val="24"/>
                <w:szCs w:val="24"/>
                <w:lang w:eastAsia="en-GB"/>
              </w:rPr>
            </w:pPr>
            <w:r w:rsidRPr="00944CAE">
              <w:rPr>
                <w:rFonts w:ascii="Arial" w:eastAsia="Times New Roman" w:hAnsi="Arial" w:cs="Arial"/>
                <w:sz w:val="24"/>
                <w:szCs w:val="24"/>
              </w:rPr>
              <w:object w:dxaOrig="1440" w:dyaOrig="1440" w14:anchorId="20C37E7B">
                <v:shape id="_x0000_i1281" type="#_x0000_t75" style="width:20.1pt;height:17.6pt" o:ole="">
                  <v:imagedata r:id="rId10" o:title=""/>
                </v:shape>
                <w:control r:id="rId39" w:name="DefaultOcxName59" w:shapeid="_x0000_i1281"/>
              </w:object>
            </w:r>
          </w:p>
        </w:tc>
        <w:tc>
          <w:tcPr>
            <w:tcW w:w="0" w:type="auto"/>
            <w:tcBorders>
              <w:top w:val="single" w:sz="6" w:space="0" w:color="DDDDDD"/>
            </w:tcBorders>
            <w:shd w:val="clear" w:color="auto" w:fill="auto"/>
            <w:tcMar>
              <w:top w:w="168" w:type="dxa"/>
              <w:left w:w="120" w:type="dxa"/>
              <w:bottom w:w="192" w:type="dxa"/>
              <w:right w:w="120" w:type="dxa"/>
            </w:tcMar>
            <w:vAlign w:val="center"/>
            <w:hideMark/>
          </w:tcPr>
          <w:p w:rsidR="00CA2DC5" w:rsidRPr="00944CAE" w:rsidRDefault="00CA2DC5" w:rsidP="00CA2DC5">
            <w:pPr>
              <w:spacing w:after="0" w:line="312" w:lineRule="atLeast"/>
              <w:rPr>
                <w:rFonts w:ascii="Arial" w:eastAsia="Times New Roman" w:hAnsi="Arial" w:cs="Arial"/>
                <w:sz w:val="24"/>
                <w:szCs w:val="24"/>
                <w:lang w:eastAsia="en-GB"/>
              </w:rPr>
            </w:pPr>
            <w:r w:rsidRPr="00944CAE">
              <w:rPr>
                <w:rFonts w:ascii="Arial" w:eastAsia="Times New Roman" w:hAnsi="Arial" w:cs="Arial"/>
                <w:sz w:val="24"/>
                <w:szCs w:val="24"/>
              </w:rPr>
              <w:object w:dxaOrig="1440" w:dyaOrig="1440" w14:anchorId="43C38B3F">
                <v:shape id="_x0000_i1284" type="#_x0000_t75" style="width:20.1pt;height:17.6pt" o:ole="">
                  <v:imagedata r:id="rId10" o:title=""/>
                </v:shape>
                <w:control r:id="rId40" w:name="DefaultOcxName116" w:shapeid="_x0000_i1284"/>
              </w:object>
            </w:r>
          </w:p>
        </w:tc>
        <w:tc>
          <w:tcPr>
            <w:tcW w:w="0" w:type="auto"/>
            <w:tcBorders>
              <w:top w:val="single" w:sz="6" w:space="0" w:color="DDDDDD"/>
            </w:tcBorders>
            <w:shd w:val="clear" w:color="auto" w:fill="auto"/>
            <w:tcMar>
              <w:top w:w="168" w:type="dxa"/>
              <w:left w:w="120" w:type="dxa"/>
              <w:bottom w:w="192" w:type="dxa"/>
              <w:right w:w="120" w:type="dxa"/>
            </w:tcMar>
            <w:vAlign w:val="center"/>
            <w:hideMark/>
          </w:tcPr>
          <w:p w:rsidR="00CA2DC5" w:rsidRPr="00944CAE" w:rsidRDefault="00CA2DC5" w:rsidP="00CA2DC5">
            <w:pPr>
              <w:spacing w:after="0" w:line="312" w:lineRule="atLeast"/>
              <w:rPr>
                <w:rFonts w:ascii="Arial" w:eastAsia="Times New Roman" w:hAnsi="Arial" w:cs="Arial"/>
                <w:sz w:val="24"/>
                <w:szCs w:val="24"/>
                <w:lang w:eastAsia="en-GB"/>
              </w:rPr>
            </w:pPr>
            <w:r w:rsidRPr="00944CAE">
              <w:rPr>
                <w:rFonts w:ascii="Arial" w:eastAsia="Times New Roman" w:hAnsi="Arial" w:cs="Arial"/>
                <w:sz w:val="24"/>
                <w:szCs w:val="24"/>
              </w:rPr>
              <w:object w:dxaOrig="1440" w:dyaOrig="1440" w14:anchorId="6F2BDE93">
                <v:shape id="_x0000_i1287" type="#_x0000_t75" style="width:20.1pt;height:17.6pt" o:ole="">
                  <v:imagedata r:id="rId8" o:title=""/>
                </v:shape>
                <w:control r:id="rId41" w:name="DefaultOcxName214" w:shapeid="_x0000_i1287"/>
              </w:object>
            </w:r>
          </w:p>
        </w:tc>
      </w:tr>
      <w:tr w:rsidR="00CA2DC5" w:rsidRPr="00944CAE" w:rsidTr="00043B31">
        <w:trPr>
          <w:trHeight w:val="1922"/>
        </w:trPr>
        <w:tc>
          <w:tcPr>
            <w:tcW w:w="1862" w:type="dxa"/>
            <w:tcBorders>
              <w:top w:val="single" w:sz="6" w:space="0" w:color="DDDDDD"/>
            </w:tcBorders>
            <w:shd w:val="clear" w:color="auto" w:fill="auto"/>
            <w:tcMar>
              <w:top w:w="168" w:type="dxa"/>
              <w:left w:w="240" w:type="dxa"/>
              <w:bottom w:w="192" w:type="dxa"/>
              <w:right w:w="0" w:type="dxa"/>
            </w:tcMar>
            <w:vAlign w:val="center"/>
            <w:hideMark/>
          </w:tcPr>
          <w:p w:rsidR="00CA2DC5" w:rsidRPr="00944CAE" w:rsidRDefault="00CA2DC5" w:rsidP="00CA2DC5">
            <w:pPr>
              <w:spacing w:after="0" w:line="312" w:lineRule="atLeast"/>
              <w:rPr>
                <w:rFonts w:ascii="Arial" w:eastAsia="Times New Roman" w:hAnsi="Arial" w:cs="Arial"/>
                <w:color w:val="666666"/>
                <w:sz w:val="24"/>
                <w:szCs w:val="24"/>
                <w:lang w:eastAsia="en-GB"/>
              </w:rPr>
            </w:pPr>
            <w:r w:rsidRPr="00944CAE">
              <w:rPr>
                <w:rFonts w:ascii="Arial" w:eastAsia="Times New Roman" w:hAnsi="Arial" w:cs="Arial"/>
                <w:color w:val="666666"/>
                <w:sz w:val="24"/>
                <w:szCs w:val="24"/>
                <w:lang w:eastAsia="en-GB"/>
              </w:rPr>
              <w:lastRenderedPageBreak/>
              <w:t>Should we use the additional funding secured at the spending review to uplift local authorities’ allocations based upon this?</w:t>
            </w:r>
          </w:p>
        </w:tc>
        <w:tc>
          <w:tcPr>
            <w:tcW w:w="0" w:type="auto"/>
            <w:tcBorders>
              <w:top w:val="single" w:sz="6" w:space="0" w:color="DDDDDD"/>
            </w:tcBorders>
            <w:shd w:val="clear" w:color="auto" w:fill="auto"/>
            <w:tcMar>
              <w:top w:w="168" w:type="dxa"/>
              <w:left w:w="120" w:type="dxa"/>
              <w:bottom w:w="192" w:type="dxa"/>
              <w:right w:w="120" w:type="dxa"/>
            </w:tcMar>
            <w:vAlign w:val="center"/>
            <w:hideMark/>
          </w:tcPr>
          <w:p w:rsidR="00CA2DC5" w:rsidRPr="00944CAE" w:rsidRDefault="00CA2DC5" w:rsidP="00CA2DC5">
            <w:pPr>
              <w:spacing w:after="0" w:line="312" w:lineRule="atLeast"/>
              <w:rPr>
                <w:rFonts w:ascii="Arial" w:eastAsia="Times New Roman" w:hAnsi="Arial" w:cs="Arial"/>
                <w:sz w:val="24"/>
                <w:szCs w:val="24"/>
                <w:lang w:eastAsia="en-GB"/>
              </w:rPr>
            </w:pPr>
            <w:r w:rsidRPr="00944CAE">
              <w:rPr>
                <w:rFonts w:ascii="Arial" w:eastAsia="Times New Roman" w:hAnsi="Arial" w:cs="Arial"/>
                <w:sz w:val="24"/>
                <w:szCs w:val="24"/>
              </w:rPr>
              <w:object w:dxaOrig="1440" w:dyaOrig="1440" w14:anchorId="13E1C471">
                <v:shape id="_x0000_i1290" type="#_x0000_t75" style="width:20.1pt;height:17.6pt" o:ole="">
                  <v:imagedata r:id="rId10" o:title=""/>
                </v:shape>
                <w:control r:id="rId42" w:name="DefaultOcxName33" w:shapeid="_x0000_i1290"/>
              </w:object>
            </w:r>
          </w:p>
        </w:tc>
        <w:tc>
          <w:tcPr>
            <w:tcW w:w="0" w:type="auto"/>
            <w:tcBorders>
              <w:top w:val="single" w:sz="6" w:space="0" w:color="DDDDDD"/>
            </w:tcBorders>
            <w:shd w:val="clear" w:color="auto" w:fill="auto"/>
            <w:tcMar>
              <w:top w:w="168" w:type="dxa"/>
              <w:left w:w="120" w:type="dxa"/>
              <w:bottom w:w="192" w:type="dxa"/>
              <w:right w:w="120" w:type="dxa"/>
            </w:tcMar>
            <w:vAlign w:val="center"/>
            <w:hideMark/>
          </w:tcPr>
          <w:p w:rsidR="00CA2DC5" w:rsidRPr="00944CAE" w:rsidRDefault="00CA2DC5" w:rsidP="00CA2DC5">
            <w:pPr>
              <w:spacing w:after="0" w:line="312" w:lineRule="atLeast"/>
              <w:rPr>
                <w:rFonts w:ascii="Arial" w:eastAsia="Times New Roman" w:hAnsi="Arial" w:cs="Arial"/>
                <w:sz w:val="24"/>
                <w:szCs w:val="24"/>
                <w:lang w:eastAsia="en-GB"/>
              </w:rPr>
            </w:pPr>
            <w:r w:rsidRPr="00944CAE">
              <w:rPr>
                <w:rFonts w:ascii="Arial" w:eastAsia="Times New Roman" w:hAnsi="Arial" w:cs="Arial"/>
                <w:sz w:val="24"/>
                <w:szCs w:val="24"/>
              </w:rPr>
              <w:object w:dxaOrig="1440" w:dyaOrig="1440" w14:anchorId="4E4A62BB">
                <v:shape id="_x0000_i1293" type="#_x0000_t75" style="width:20.1pt;height:17.6pt" o:ole="">
                  <v:imagedata r:id="rId10" o:title=""/>
                </v:shape>
                <w:control r:id="rId43" w:name="DefaultOcxName413" w:shapeid="_x0000_i1293"/>
              </w:object>
            </w:r>
          </w:p>
        </w:tc>
        <w:tc>
          <w:tcPr>
            <w:tcW w:w="0" w:type="auto"/>
            <w:tcBorders>
              <w:top w:val="single" w:sz="6" w:space="0" w:color="DDDDDD"/>
            </w:tcBorders>
            <w:shd w:val="clear" w:color="auto" w:fill="auto"/>
            <w:tcMar>
              <w:top w:w="168" w:type="dxa"/>
              <w:left w:w="120" w:type="dxa"/>
              <w:bottom w:w="192" w:type="dxa"/>
              <w:right w:w="120" w:type="dxa"/>
            </w:tcMar>
            <w:vAlign w:val="center"/>
            <w:hideMark/>
          </w:tcPr>
          <w:p w:rsidR="00CA2DC5" w:rsidRPr="00944CAE" w:rsidRDefault="00CA2DC5" w:rsidP="00CA2DC5">
            <w:pPr>
              <w:spacing w:after="0" w:line="312" w:lineRule="atLeast"/>
              <w:rPr>
                <w:rFonts w:ascii="Arial" w:eastAsia="Times New Roman" w:hAnsi="Arial" w:cs="Arial"/>
                <w:sz w:val="24"/>
                <w:szCs w:val="24"/>
                <w:lang w:eastAsia="en-GB"/>
              </w:rPr>
            </w:pPr>
            <w:r w:rsidRPr="00944CAE">
              <w:rPr>
                <w:rFonts w:ascii="Arial" w:eastAsia="Times New Roman" w:hAnsi="Arial" w:cs="Arial"/>
                <w:sz w:val="24"/>
                <w:szCs w:val="24"/>
              </w:rPr>
              <w:object w:dxaOrig="1440" w:dyaOrig="1440" w14:anchorId="6B4B7B8A">
                <v:shape id="_x0000_i1296" type="#_x0000_t75" style="width:20.1pt;height:17.6pt" o:ole="">
                  <v:imagedata r:id="rId8" o:title=""/>
                </v:shape>
                <w:control r:id="rId44" w:name="DefaultOcxName58" w:shapeid="_x0000_i1296"/>
              </w:object>
            </w:r>
          </w:p>
        </w:tc>
      </w:tr>
    </w:tbl>
    <w:p w:rsidR="00CA2DC5" w:rsidRPr="00944CAE" w:rsidRDefault="00CA2DC5" w:rsidP="00CA2DC5">
      <w:pPr>
        <w:spacing w:after="0" w:line="240" w:lineRule="auto"/>
        <w:rPr>
          <w:rFonts w:ascii="Arial" w:eastAsia="Times New Roman" w:hAnsi="Arial" w:cs="Arial"/>
          <w:b/>
          <w:lang w:eastAsia="en-GB"/>
        </w:rPr>
      </w:pPr>
      <w:r w:rsidRPr="00944CAE">
        <w:rPr>
          <w:rFonts w:ascii="Arial" w:eastAsia="Times New Roman" w:hAnsi="Arial" w:cs="Arial"/>
          <w:b/>
          <w:bCs/>
          <w:lang w:eastAsia="en-GB"/>
        </w:rPr>
        <w:t>16</w:t>
      </w:r>
      <w:r w:rsidR="00F91DDF" w:rsidRPr="00944CAE">
        <w:rPr>
          <w:rFonts w:ascii="Arial" w:eastAsia="Times New Roman" w:hAnsi="Arial" w:cs="Arial"/>
          <w:b/>
          <w:bCs/>
          <w:lang w:eastAsia="en-GB"/>
        </w:rPr>
        <w:t xml:space="preserve"> </w:t>
      </w:r>
      <w:r w:rsidRPr="00944CAE">
        <w:rPr>
          <w:rFonts w:ascii="Arial" w:eastAsia="Times New Roman" w:hAnsi="Arial" w:cs="Arial"/>
          <w:b/>
          <w:lang w:eastAsia="en-GB"/>
        </w:rPr>
        <w:t>Considering the Dedicated Schools Grant, should the free entitlement be capped at 30 hours for children of eligible working parents and 15 hours for all other children?</w:t>
      </w:r>
    </w:p>
    <w:p w:rsidR="00F91DDF" w:rsidRPr="00944CAE" w:rsidRDefault="00F91DDF" w:rsidP="00CA2DC5">
      <w:pPr>
        <w:spacing w:after="0" w:line="240" w:lineRule="auto"/>
        <w:rPr>
          <w:rFonts w:ascii="Arial" w:eastAsia="Times New Roman" w:hAnsi="Arial" w:cs="Arial"/>
          <w:sz w:val="24"/>
          <w:szCs w:val="24"/>
          <w:lang w:eastAsia="en-GB"/>
        </w:rPr>
      </w:pPr>
    </w:p>
    <w:p w:rsidR="00CA2DC5" w:rsidRPr="00944CAE" w:rsidRDefault="00CA2DC5" w:rsidP="00CA2DC5">
      <w:pPr>
        <w:spacing w:after="0" w:line="240" w:lineRule="auto"/>
        <w:rPr>
          <w:rFonts w:ascii="Arial" w:eastAsia="Times New Roman" w:hAnsi="Arial" w:cs="Arial"/>
          <w:sz w:val="24"/>
          <w:szCs w:val="24"/>
          <w:lang w:eastAsia="en-GB"/>
        </w:rPr>
      </w:pPr>
      <w:r w:rsidRPr="00944CAE">
        <w:rPr>
          <w:rFonts w:ascii="Arial" w:eastAsia="Times New Roman" w:hAnsi="Arial" w:cs="Arial"/>
          <w:sz w:val="24"/>
          <w:szCs w:val="24"/>
        </w:rPr>
        <w:object w:dxaOrig="1440" w:dyaOrig="1440" w14:anchorId="45C25C1E">
          <v:shape id="_x0000_i1299" type="#_x0000_t75" style="width:20.1pt;height:17.6pt" o:ole="">
            <v:imagedata r:id="rId10" o:title=""/>
          </v:shape>
          <w:control r:id="rId45" w:name="DefaultOcxName65" w:shapeid="_x0000_i1299"/>
        </w:object>
      </w:r>
      <w:r w:rsidRPr="00944CAE">
        <w:rPr>
          <w:rFonts w:ascii="Arial" w:eastAsia="Times New Roman" w:hAnsi="Arial" w:cs="Arial"/>
          <w:sz w:val="24"/>
          <w:szCs w:val="24"/>
          <w:lang w:eastAsia="en-GB"/>
        </w:rPr>
        <w:t>Yes </w:t>
      </w:r>
      <w:r w:rsidRPr="00944CAE">
        <w:rPr>
          <w:rFonts w:ascii="Arial" w:eastAsia="Times New Roman" w:hAnsi="Arial" w:cs="Arial"/>
          <w:sz w:val="24"/>
          <w:szCs w:val="24"/>
          <w:lang w:eastAsia="en-GB"/>
        </w:rPr>
        <w:br/>
      </w:r>
      <w:r w:rsidRPr="00944CAE">
        <w:rPr>
          <w:rFonts w:ascii="Arial" w:eastAsia="Times New Roman" w:hAnsi="Arial" w:cs="Arial"/>
          <w:sz w:val="24"/>
          <w:szCs w:val="24"/>
        </w:rPr>
        <w:object w:dxaOrig="1440" w:dyaOrig="1440" w14:anchorId="3D5A11FC">
          <v:shape id="_x0000_i1302" type="#_x0000_t75" style="width:20.1pt;height:17.6pt" o:ole="">
            <v:imagedata r:id="rId8" o:title=""/>
          </v:shape>
          <w:control r:id="rId46" w:name="DefaultOcxName74" w:shapeid="_x0000_i1302"/>
        </w:object>
      </w:r>
      <w:r w:rsidRPr="00944CAE">
        <w:rPr>
          <w:rFonts w:ascii="Arial" w:eastAsia="Times New Roman" w:hAnsi="Arial" w:cs="Arial"/>
          <w:sz w:val="24"/>
          <w:szCs w:val="24"/>
          <w:lang w:eastAsia="en-GB"/>
        </w:rPr>
        <w:t>No </w:t>
      </w:r>
      <w:r w:rsidRPr="00944CAE">
        <w:rPr>
          <w:rFonts w:ascii="Arial" w:eastAsia="Times New Roman" w:hAnsi="Arial" w:cs="Arial"/>
          <w:sz w:val="24"/>
          <w:szCs w:val="24"/>
          <w:lang w:eastAsia="en-GB"/>
        </w:rPr>
        <w:br/>
      </w:r>
      <w:r w:rsidRPr="00944CAE">
        <w:rPr>
          <w:rFonts w:ascii="Arial" w:eastAsia="Times New Roman" w:hAnsi="Arial" w:cs="Arial"/>
          <w:sz w:val="24"/>
          <w:szCs w:val="24"/>
        </w:rPr>
        <w:object w:dxaOrig="1440" w:dyaOrig="1440" w14:anchorId="50608355">
          <v:shape id="_x0000_i1305" type="#_x0000_t75" style="width:20.1pt;height:17.6pt" o:ole="">
            <v:imagedata r:id="rId10" o:title=""/>
          </v:shape>
          <w:control r:id="rId47" w:name="DefaultOcxName84" w:shapeid="_x0000_i1305"/>
        </w:object>
      </w:r>
      <w:r w:rsidRPr="00944CAE">
        <w:rPr>
          <w:rFonts w:ascii="Arial" w:eastAsia="Times New Roman" w:hAnsi="Arial" w:cs="Arial"/>
          <w:sz w:val="24"/>
          <w:szCs w:val="24"/>
          <w:lang w:eastAsia="en-GB"/>
        </w:rPr>
        <w:t>Unsure </w:t>
      </w:r>
    </w:p>
    <w:p w:rsidR="00F91DDF" w:rsidRPr="00944CAE" w:rsidRDefault="00F91DDF" w:rsidP="00CA2DC5">
      <w:pPr>
        <w:spacing w:after="0" w:line="240" w:lineRule="auto"/>
        <w:rPr>
          <w:rFonts w:ascii="Arial" w:eastAsia="Times New Roman" w:hAnsi="Arial" w:cs="Arial"/>
          <w:sz w:val="24"/>
          <w:szCs w:val="24"/>
          <w:lang w:eastAsia="en-GB"/>
        </w:rPr>
      </w:pPr>
    </w:p>
    <w:p w:rsidR="00CA2DC5" w:rsidRPr="00944CAE" w:rsidRDefault="00CA2DC5" w:rsidP="00CA2DC5">
      <w:pPr>
        <w:spacing w:after="0" w:line="240" w:lineRule="auto"/>
        <w:rPr>
          <w:rFonts w:ascii="Arial" w:eastAsia="Times New Roman" w:hAnsi="Arial" w:cs="Arial"/>
          <w:b/>
          <w:lang w:eastAsia="en-GB"/>
        </w:rPr>
      </w:pPr>
      <w:r w:rsidRPr="00944CAE">
        <w:rPr>
          <w:rFonts w:ascii="Arial" w:eastAsia="Times New Roman" w:hAnsi="Arial" w:cs="Arial"/>
          <w:b/>
          <w:bCs/>
          <w:lang w:eastAsia="en-GB"/>
        </w:rPr>
        <w:t>17</w:t>
      </w:r>
      <w:r w:rsidR="00F91DDF" w:rsidRPr="00944CAE">
        <w:rPr>
          <w:rFonts w:ascii="Arial" w:eastAsia="Times New Roman" w:hAnsi="Arial" w:cs="Arial"/>
          <w:b/>
          <w:bCs/>
          <w:lang w:eastAsia="en-GB"/>
        </w:rPr>
        <w:t xml:space="preserve"> </w:t>
      </w:r>
      <w:r w:rsidRPr="00944CAE">
        <w:rPr>
          <w:rFonts w:ascii="Arial" w:eastAsia="Times New Roman" w:hAnsi="Arial" w:cs="Arial"/>
          <w:b/>
          <w:lang w:eastAsia="en-GB"/>
        </w:rPr>
        <w:t>Should Government set the proportion of early years funding that must be passed on to providers?</w:t>
      </w:r>
    </w:p>
    <w:p w:rsidR="00F91DDF" w:rsidRPr="00944CAE" w:rsidRDefault="00F91DDF" w:rsidP="00CA2DC5">
      <w:pPr>
        <w:spacing w:after="0" w:line="240" w:lineRule="auto"/>
        <w:rPr>
          <w:rFonts w:ascii="Arial" w:eastAsia="Times New Roman" w:hAnsi="Arial" w:cs="Arial"/>
          <w:sz w:val="24"/>
          <w:szCs w:val="24"/>
          <w:lang w:eastAsia="en-GB"/>
        </w:rPr>
      </w:pPr>
    </w:p>
    <w:p w:rsidR="00CA2DC5" w:rsidRPr="00944CAE" w:rsidRDefault="00CA2DC5" w:rsidP="00CA2DC5">
      <w:pPr>
        <w:spacing w:after="0" w:line="240" w:lineRule="auto"/>
        <w:rPr>
          <w:rFonts w:ascii="Arial" w:eastAsia="Times New Roman" w:hAnsi="Arial" w:cs="Arial"/>
          <w:sz w:val="24"/>
          <w:szCs w:val="24"/>
          <w:lang w:eastAsia="en-GB"/>
        </w:rPr>
      </w:pPr>
      <w:r w:rsidRPr="00944CAE">
        <w:rPr>
          <w:rFonts w:ascii="Arial" w:eastAsia="Times New Roman" w:hAnsi="Arial" w:cs="Arial"/>
          <w:sz w:val="24"/>
          <w:szCs w:val="24"/>
        </w:rPr>
        <w:object w:dxaOrig="1440" w:dyaOrig="1440" w14:anchorId="40831EF1">
          <v:shape id="_x0000_i1308" type="#_x0000_t75" style="width:20.1pt;height:17.6pt" o:ole="">
            <v:imagedata r:id="rId10" o:title=""/>
          </v:shape>
          <w:control r:id="rId48" w:name="DefaultOcxName60" w:shapeid="_x0000_i1308"/>
        </w:object>
      </w:r>
      <w:r w:rsidRPr="00944CAE">
        <w:rPr>
          <w:rFonts w:ascii="Arial" w:eastAsia="Times New Roman" w:hAnsi="Arial" w:cs="Arial"/>
          <w:sz w:val="24"/>
          <w:szCs w:val="24"/>
          <w:lang w:eastAsia="en-GB"/>
        </w:rPr>
        <w:t>Yes </w:t>
      </w:r>
      <w:r w:rsidRPr="00944CAE">
        <w:rPr>
          <w:rFonts w:ascii="Arial" w:eastAsia="Times New Roman" w:hAnsi="Arial" w:cs="Arial"/>
          <w:sz w:val="24"/>
          <w:szCs w:val="24"/>
          <w:lang w:eastAsia="en-GB"/>
        </w:rPr>
        <w:br/>
      </w:r>
      <w:r w:rsidRPr="00944CAE">
        <w:rPr>
          <w:rFonts w:ascii="Arial" w:eastAsia="Times New Roman" w:hAnsi="Arial" w:cs="Arial"/>
          <w:sz w:val="24"/>
          <w:szCs w:val="24"/>
        </w:rPr>
        <w:object w:dxaOrig="1440" w:dyaOrig="1440" w14:anchorId="4B3B60C7">
          <v:shape id="_x0000_i1311" type="#_x0000_t75" style="width:20.1pt;height:17.6pt" o:ole="">
            <v:imagedata r:id="rId10" o:title=""/>
          </v:shape>
          <w:control r:id="rId49" w:name="DefaultOcxName117" w:shapeid="_x0000_i1311"/>
        </w:object>
      </w:r>
      <w:r w:rsidRPr="00944CAE">
        <w:rPr>
          <w:rFonts w:ascii="Arial" w:eastAsia="Times New Roman" w:hAnsi="Arial" w:cs="Arial"/>
          <w:sz w:val="24"/>
          <w:szCs w:val="24"/>
          <w:lang w:eastAsia="en-GB"/>
        </w:rPr>
        <w:t>No </w:t>
      </w:r>
      <w:r w:rsidRPr="00944CAE">
        <w:rPr>
          <w:rFonts w:ascii="Arial" w:eastAsia="Times New Roman" w:hAnsi="Arial" w:cs="Arial"/>
          <w:sz w:val="24"/>
          <w:szCs w:val="24"/>
          <w:lang w:eastAsia="en-GB"/>
        </w:rPr>
        <w:br/>
      </w:r>
      <w:r w:rsidRPr="00944CAE">
        <w:rPr>
          <w:rFonts w:ascii="Arial" w:eastAsia="Times New Roman" w:hAnsi="Arial" w:cs="Arial"/>
          <w:sz w:val="24"/>
          <w:szCs w:val="24"/>
        </w:rPr>
        <w:object w:dxaOrig="1440" w:dyaOrig="1440" w14:anchorId="49905CE4">
          <v:shape id="_x0000_i1314" type="#_x0000_t75" style="width:20.1pt;height:17.6pt" o:ole="">
            <v:imagedata r:id="rId8" o:title=""/>
          </v:shape>
          <w:control r:id="rId50" w:name="DefaultOcxName215" w:shapeid="_x0000_i1314"/>
        </w:object>
      </w:r>
      <w:r w:rsidRPr="00944CAE">
        <w:rPr>
          <w:rFonts w:ascii="Arial" w:eastAsia="Times New Roman" w:hAnsi="Arial" w:cs="Arial"/>
          <w:sz w:val="24"/>
          <w:szCs w:val="24"/>
          <w:lang w:eastAsia="en-GB"/>
        </w:rPr>
        <w:t>Unsure </w:t>
      </w:r>
      <w:r w:rsidRPr="00944CAE">
        <w:rPr>
          <w:rFonts w:ascii="Arial" w:eastAsia="Times New Roman" w:hAnsi="Arial" w:cs="Arial"/>
          <w:sz w:val="24"/>
          <w:szCs w:val="24"/>
          <w:lang w:eastAsia="en-GB"/>
        </w:rPr>
        <w:br/>
      </w:r>
    </w:p>
    <w:p w:rsidR="00CA2DC5" w:rsidRPr="00944CAE" w:rsidRDefault="00CA2DC5" w:rsidP="00CA2DC5">
      <w:pPr>
        <w:spacing w:after="0" w:line="240" w:lineRule="auto"/>
        <w:rPr>
          <w:rFonts w:ascii="Arial" w:eastAsia="Times New Roman" w:hAnsi="Arial" w:cs="Arial"/>
          <w:b/>
          <w:lang w:eastAsia="en-GB"/>
        </w:rPr>
      </w:pPr>
      <w:r w:rsidRPr="00944CAE">
        <w:rPr>
          <w:rFonts w:ascii="Arial" w:eastAsia="Times New Roman" w:hAnsi="Arial" w:cs="Arial"/>
          <w:b/>
          <w:bCs/>
          <w:lang w:eastAsia="en-GB"/>
        </w:rPr>
        <w:t>18</w:t>
      </w:r>
      <w:r w:rsidR="00F91DDF" w:rsidRPr="00944CAE">
        <w:rPr>
          <w:rFonts w:ascii="Arial" w:eastAsia="Times New Roman" w:hAnsi="Arial" w:cs="Arial"/>
          <w:b/>
          <w:bCs/>
          <w:lang w:eastAsia="en-GB"/>
        </w:rPr>
        <w:t xml:space="preserve"> </w:t>
      </w:r>
      <w:r w:rsidRPr="00944CAE">
        <w:rPr>
          <w:rFonts w:ascii="Arial" w:eastAsia="Times New Roman" w:hAnsi="Arial" w:cs="Arial"/>
          <w:b/>
          <w:lang w:eastAsia="en-GB"/>
        </w:rPr>
        <w:t>Do you think that 95% is the correct minimum proportion of the money that should be passed from local authorities to providers?</w:t>
      </w:r>
    </w:p>
    <w:p w:rsidR="00CA2DC5" w:rsidRPr="00944CAE" w:rsidRDefault="00CA2DC5" w:rsidP="00CA2DC5">
      <w:pPr>
        <w:spacing w:after="0" w:line="240" w:lineRule="auto"/>
        <w:rPr>
          <w:rFonts w:ascii="Arial" w:eastAsia="Times New Roman" w:hAnsi="Arial" w:cs="Arial"/>
          <w:sz w:val="24"/>
          <w:szCs w:val="24"/>
          <w:lang w:eastAsia="en-GB"/>
        </w:rPr>
      </w:pPr>
      <w:r w:rsidRPr="00944CAE">
        <w:rPr>
          <w:rFonts w:ascii="Arial" w:eastAsia="Times New Roman" w:hAnsi="Arial" w:cs="Arial"/>
          <w:sz w:val="24"/>
          <w:szCs w:val="24"/>
        </w:rPr>
        <w:object w:dxaOrig="1440" w:dyaOrig="1440" w14:anchorId="2003594B">
          <v:shape id="_x0000_i1317" type="#_x0000_t75" style="width:20.1pt;height:17.6pt" o:ole="">
            <v:imagedata r:id="rId10" o:title=""/>
          </v:shape>
          <w:control r:id="rId51" w:name="DefaultOcxName313" w:shapeid="_x0000_i1317"/>
        </w:object>
      </w:r>
      <w:r w:rsidRPr="00944CAE">
        <w:rPr>
          <w:rFonts w:ascii="Arial" w:eastAsia="Times New Roman" w:hAnsi="Arial" w:cs="Arial"/>
          <w:sz w:val="24"/>
          <w:szCs w:val="24"/>
          <w:lang w:eastAsia="en-GB"/>
        </w:rPr>
        <w:t>Yes, I agree </w:t>
      </w:r>
      <w:r w:rsidRPr="00944CAE">
        <w:rPr>
          <w:rFonts w:ascii="Arial" w:eastAsia="Times New Roman" w:hAnsi="Arial" w:cs="Arial"/>
          <w:sz w:val="24"/>
          <w:szCs w:val="24"/>
          <w:lang w:eastAsia="en-GB"/>
        </w:rPr>
        <w:br/>
      </w:r>
      <w:r w:rsidRPr="00944CAE">
        <w:rPr>
          <w:rFonts w:ascii="Arial" w:eastAsia="Times New Roman" w:hAnsi="Arial" w:cs="Arial"/>
          <w:sz w:val="24"/>
          <w:szCs w:val="24"/>
        </w:rPr>
        <w:object w:dxaOrig="1440" w:dyaOrig="1440" w14:anchorId="1753B807">
          <v:shape id="_x0000_i1320" type="#_x0000_t75" style="width:20.1pt;height:17.6pt" o:ole="">
            <v:imagedata r:id="rId10" o:title=""/>
          </v:shape>
          <w:control r:id="rId52" w:name="DefaultOcxName414" w:shapeid="_x0000_i1320"/>
        </w:object>
      </w:r>
      <w:r w:rsidRPr="00944CAE">
        <w:rPr>
          <w:rFonts w:ascii="Arial" w:eastAsia="Times New Roman" w:hAnsi="Arial" w:cs="Arial"/>
          <w:sz w:val="24"/>
          <w:szCs w:val="24"/>
          <w:lang w:eastAsia="en-GB"/>
        </w:rPr>
        <w:t>No, 95% is too high </w:t>
      </w:r>
      <w:r w:rsidRPr="00944CAE">
        <w:rPr>
          <w:rFonts w:ascii="Arial" w:eastAsia="Times New Roman" w:hAnsi="Arial" w:cs="Arial"/>
          <w:sz w:val="24"/>
          <w:szCs w:val="24"/>
          <w:lang w:eastAsia="en-GB"/>
        </w:rPr>
        <w:br/>
      </w:r>
      <w:r w:rsidRPr="00944CAE">
        <w:rPr>
          <w:rFonts w:ascii="Arial" w:eastAsia="Times New Roman" w:hAnsi="Arial" w:cs="Arial"/>
          <w:sz w:val="24"/>
          <w:szCs w:val="24"/>
        </w:rPr>
        <w:object w:dxaOrig="1440" w:dyaOrig="1440" w14:anchorId="5C92BE41">
          <v:shape id="_x0000_i1323" type="#_x0000_t75" style="width:20.1pt;height:17.6pt" o:ole="">
            <v:imagedata r:id="rId10" o:title=""/>
          </v:shape>
          <w:control r:id="rId53" w:name="DefaultOcxName513" w:shapeid="_x0000_i1323"/>
        </w:object>
      </w:r>
      <w:r w:rsidRPr="00944CAE">
        <w:rPr>
          <w:rFonts w:ascii="Arial" w:eastAsia="Times New Roman" w:hAnsi="Arial" w:cs="Arial"/>
          <w:sz w:val="24"/>
          <w:szCs w:val="24"/>
          <w:lang w:eastAsia="en-GB"/>
        </w:rPr>
        <w:t>No, 95% is too low </w:t>
      </w:r>
      <w:r w:rsidRPr="00944CAE">
        <w:rPr>
          <w:rFonts w:ascii="Arial" w:eastAsia="Times New Roman" w:hAnsi="Arial" w:cs="Arial"/>
          <w:sz w:val="24"/>
          <w:szCs w:val="24"/>
          <w:lang w:eastAsia="en-GB"/>
        </w:rPr>
        <w:br/>
      </w:r>
      <w:r w:rsidRPr="00944CAE">
        <w:rPr>
          <w:rFonts w:ascii="Arial" w:eastAsia="Times New Roman" w:hAnsi="Arial" w:cs="Arial"/>
          <w:sz w:val="24"/>
          <w:szCs w:val="24"/>
        </w:rPr>
        <w:object w:dxaOrig="1440" w:dyaOrig="1440" w14:anchorId="3187F3DE">
          <v:shape id="_x0000_i1326" type="#_x0000_t75" style="width:20.1pt;height:17.6pt" o:ole="">
            <v:imagedata r:id="rId10" o:title=""/>
          </v:shape>
          <w:control r:id="rId54" w:name="DefaultOcxName66" w:shapeid="_x0000_i1326"/>
        </w:object>
      </w:r>
      <w:r w:rsidRPr="00944CAE">
        <w:rPr>
          <w:rFonts w:ascii="Arial" w:eastAsia="Times New Roman" w:hAnsi="Arial" w:cs="Arial"/>
          <w:sz w:val="24"/>
          <w:szCs w:val="24"/>
          <w:lang w:eastAsia="en-GB"/>
        </w:rPr>
        <w:t>Unsure </w:t>
      </w:r>
      <w:r w:rsidRPr="00944CAE">
        <w:rPr>
          <w:rFonts w:ascii="Arial" w:eastAsia="Times New Roman" w:hAnsi="Arial" w:cs="Arial"/>
          <w:sz w:val="24"/>
          <w:szCs w:val="24"/>
          <w:lang w:eastAsia="en-GB"/>
        </w:rPr>
        <w:br/>
      </w:r>
    </w:p>
    <w:p w:rsidR="00CA2DC5" w:rsidRPr="00944CAE" w:rsidRDefault="00CA2DC5" w:rsidP="00CA2DC5">
      <w:pPr>
        <w:spacing w:after="0" w:line="240" w:lineRule="auto"/>
        <w:rPr>
          <w:rFonts w:ascii="Arial" w:eastAsia="Times New Roman" w:hAnsi="Arial" w:cs="Arial"/>
          <w:b/>
          <w:lang w:eastAsia="en-GB"/>
        </w:rPr>
      </w:pPr>
      <w:r w:rsidRPr="00944CAE">
        <w:rPr>
          <w:rFonts w:ascii="Arial" w:eastAsia="Times New Roman" w:hAnsi="Arial" w:cs="Arial"/>
          <w:b/>
          <w:bCs/>
          <w:lang w:eastAsia="en-GB"/>
        </w:rPr>
        <w:t>19</w:t>
      </w:r>
      <w:r w:rsidR="00F91DDF" w:rsidRPr="00944CAE">
        <w:rPr>
          <w:rFonts w:ascii="Arial" w:eastAsia="Times New Roman" w:hAnsi="Arial" w:cs="Arial"/>
          <w:b/>
          <w:bCs/>
          <w:lang w:eastAsia="en-GB"/>
        </w:rPr>
        <w:t xml:space="preserve"> </w:t>
      </w:r>
      <w:r w:rsidRPr="00944CAE">
        <w:rPr>
          <w:rFonts w:ascii="Arial" w:eastAsia="Times New Roman" w:hAnsi="Arial" w:cs="Arial"/>
          <w:b/>
          <w:lang w:eastAsia="en-GB"/>
        </w:rPr>
        <w:t>If you would like to explain a response you’ve submitted on this page in more detail, please do so here:</w:t>
      </w:r>
    </w:p>
    <w:p w:rsidR="00DD5E0F" w:rsidRPr="00944CAE" w:rsidRDefault="00DD5E0F" w:rsidP="00DD5E0F">
      <w:pPr>
        <w:spacing w:after="0" w:line="240" w:lineRule="auto"/>
        <w:rPr>
          <w:rFonts w:ascii="Arial" w:eastAsia="Times New Roman" w:hAnsi="Arial" w:cs="Arial"/>
          <w:b/>
          <w:bCs/>
          <w:color w:val="444444"/>
          <w:lang w:eastAsia="en-GB"/>
        </w:rPr>
      </w:pPr>
    </w:p>
    <w:p w:rsidR="0073735F" w:rsidRPr="00322E76" w:rsidRDefault="00013BF8" w:rsidP="00DD5E0F">
      <w:pPr>
        <w:spacing w:after="0" w:line="240" w:lineRule="auto"/>
        <w:rPr>
          <w:rFonts w:ascii="Arial" w:eastAsia="Times New Roman" w:hAnsi="Arial" w:cs="Arial"/>
          <w:bCs/>
          <w:lang w:eastAsia="en-GB"/>
        </w:rPr>
      </w:pPr>
      <w:r w:rsidRPr="00322E76">
        <w:rPr>
          <w:rFonts w:ascii="Arial" w:eastAsia="Times New Roman" w:hAnsi="Arial" w:cs="Arial"/>
          <w:bCs/>
          <w:lang w:eastAsia="en-GB"/>
        </w:rPr>
        <w:t>While funding for the two year old offer is distributed more transparently than for the current three and four year old offer, funding is not adequate in all areas. The</w:t>
      </w:r>
      <w:r w:rsidR="00574958" w:rsidRPr="00322E76">
        <w:rPr>
          <w:rFonts w:ascii="Arial" w:eastAsia="Times New Roman" w:hAnsi="Arial" w:cs="Arial"/>
          <w:bCs/>
          <w:lang w:eastAsia="en-GB"/>
        </w:rPr>
        <w:t xml:space="preserve"> impact </w:t>
      </w:r>
      <w:r w:rsidRPr="00322E76">
        <w:rPr>
          <w:rFonts w:ascii="Arial" w:eastAsia="Times New Roman" w:hAnsi="Arial" w:cs="Arial"/>
          <w:bCs/>
          <w:lang w:eastAsia="en-GB"/>
        </w:rPr>
        <w:t>of the funding shortfall</w:t>
      </w:r>
      <w:r w:rsidR="00574958" w:rsidRPr="00322E76">
        <w:rPr>
          <w:rFonts w:ascii="Arial" w:eastAsia="Times New Roman" w:hAnsi="Arial" w:cs="Arial"/>
          <w:bCs/>
          <w:lang w:eastAsia="en-GB"/>
        </w:rPr>
        <w:t xml:space="preserve"> is visible in varying</w:t>
      </w:r>
      <w:r w:rsidRPr="00322E76">
        <w:rPr>
          <w:rFonts w:ascii="Arial" w:eastAsia="Times New Roman" w:hAnsi="Arial" w:cs="Arial"/>
          <w:bCs/>
          <w:lang w:eastAsia="en-GB"/>
        </w:rPr>
        <w:t xml:space="preserve"> levels of</w:t>
      </w:r>
      <w:r w:rsidR="00574958" w:rsidRPr="00322E76">
        <w:rPr>
          <w:rFonts w:ascii="Arial" w:eastAsia="Times New Roman" w:hAnsi="Arial" w:cs="Arial"/>
          <w:bCs/>
          <w:lang w:eastAsia="en-GB"/>
        </w:rPr>
        <w:t xml:space="preserve"> take-up</w:t>
      </w:r>
      <w:r w:rsidRPr="00322E76">
        <w:rPr>
          <w:rFonts w:ascii="Arial" w:eastAsia="Times New Roman" w:hAnsi="Arial" w:cs="Arial"/>
          <w:bCs/>
          <w:lang w:eastAsia="en-GB"/>
        </w:rPr>
        <w:t xml:space="preserve"> and less choice for parents taking up the offer in many areas as some providers opt out</w:t>
      </w:r>
      <w:r w:rsidR="00574958" w:rsidRPr="00322E76">
        <w:rPr>
          <w:rFonts w:ascii="Arial" w:eastAsia="Times New Roman" w:hAnsi="Arial" w:cs="Arial"/>
          <w:bCs/>
          <w:lang w:eastAsia="en-GB"/>
        </w:rPr>
        <w:t xml:space="preserve">. </w:t>
      </w:r>
      <w:r w:rsidR="00BA6851" w:rsidRPr="00322E76">
        <w:rPr>
          <w:rFonts w:ascii="Arial" w:eastAsia="Times New Roman" w:hAnsi="Arial" w:cs="Arial"/>
          <w:bCs/>
          <w:lang w:eastAsia="en-GB"/>
        </w:rPr>
        <w:t xml:space="preserve">We are concerned that the Department’s proposals will mean that low take up of the two year old offer becomes tolerated in a number of areas because local authorities with sufficiency challenges will have little flexibility to </w:t>
      </w:r>
      <w:r w:rsidR="00623781" w:rsidRPr="00322E76">
        <w:rPr>
          <w:rFonts w:ascii="Arial" w:eastAsia="Times New Roman" w:hAnsi="Arial" w:cs="Arial"/>
          <w:bCs/>
          <w:lang w:eastAsia="en-GB"/>
        </w:rPr>
        <w:t>invest in new provision or incentives for providers</w:t>
      </w:r>
      <w:r w:rsidR="00BA6851" w:rsidRPr="00322E76">
        <w:rPr>
          <w:rFonts w:ascii="Arial" w:eastAsia="Times New Roman" w:hAnsi="Arial" w:cs="Arial"/>
          <w:bCs/>
          <w:lang w:eastAsia="en-GB"/>
        </w:rPr>
        <w:t xml:space="preserve">. The Department should ensure that </w:t>
      </w:r>
      <w:r w:rsidR="00BA6851" w:rsidRPr="00322E76">
        <w:rPr>
          <w:rFonts w:ascii="Arial" w:eastAsia="Times New Roman" w:hAnsi="Arial" w:cs="Arial"/>
          <w:bCs/>
          <w:lang w:eastAsia="en-GB"/>
        </w:rPr>
        <w:lastRenderedPageBreak/>
        <w:t xml:space="preserve">progress in increasing take up of the two year old offer does not stall by </w:t>
      </w:r>
      <w:r w:rsidR="00623781" w:rsidRPr="00322E76">
        <w:rPr>
          <w:rFonts w:ascii="Arial" w:eastAsia="Times New Roman" w:hAnsi="Arial" w:cs="Arial"/>
          <w:bCs/>
          <w:lang w:eastAsia="en-GB"/>
        </w:rPr>
        <w:t>ensuring there is flexibility to use a proportion of the early years block for place development and by continuing trajectory funding for areas with take up below 70 per cent</w:t>
      </w:r>
      <w:r w:rsidR="00BA6851" w:rsidRPr="00322E76">
        <w:rPr>
          <w:rFonts w:ascii="Arial" w:eastAsia="Times New Roman" w:hAnsi="Arial" w:cs="Arial"/>
          <w:bCs/>
          <w:lang w:eastAsia="en-GB"/>
        </w:rPr>
        <w:t>.</w:t>
      </w:r>
    </w:p>
    <w:p w:rsidR="0073735F" w:rsidRPr="00322E76" w:rsidRDefault="0073735F" w:rsidP="00DD5E0F">
      <w:pPr>
        <w:spacing w:after="0" w:line="240" w:lineRule="auto"/>
        <w:rPr>
          <w:rFonts w:ascii="Arial" w:eastAsia="Times New Roman" w:hAnsi="Arial" w:cs="Arial"/>
          <w:bCs/>
          <w:lang w:eastAsia="en-GB"/>
        </w:rPr>
      </w:pPr>
    </w:p>
    <w:p w:rsidR="00574958" w:rsidRPr="00322E76" w:rsidRDefault="00013BF8" w:rsidP="00DD5E0F">
      <w:pPr>
        <w:spacing w:after="0" w:line="240" w:lineRule="auto"/>
        <w:rPr>
          <w:rFonts w:ascii="Arial" w:eastAsia="Times New Roman" w:hAnsi="Arial" w:cs="Arial"/>
          <w:bCs/>
          <w:lang w:eastAsia="en-GB"/>
        </w:rPr>
      </w:pPr>
      <w:r w:rsidRPr="00322E76">
        <w:rPr>
          <w:rFonts w:ascii="Arial" w:eastAsia="Times New Roman" w:hAnsi="Arial" w:cs="Arial"/>
          <w:bCs/>
          <w:lang w:eastAsia="en-GB"/>
        </w:rPr>
        <w:t>The policy rationale for the two year old offer is to improve outcomes for children among those most likely to fall behind in the early years. Yet the evidence suggests the involvement of graduate leaders and a package of family support is crucial in improving outcomes for children, including those under three in early education.</w:t>
      </w:r>
      <w:r w:rsidRPr="00322E76">
        <w:rPr>
          <w:rStyle w:val="FootnoteReference"/>
          <w:rFonts w:ascii="Arial" w:eastAsia="Times New Roman" w:hAnsi="Arial" w:cs="Arial"/>
          <w:bCs/>
          <w:lang w:eastAsia="en-GB"/>
        </w:rPr>
        <w:footnoteReference w:id="3"/>
      </w:r>
      <w:r w:rsidRPr="00322E76">
        <w:rPr>
          <w:rFonts w:ascii="Arial" w:eastAsia="Times New Roman" w:hAnsi="Arial" w:cs="Arial"/>
          <w:bCs/>
          <w:lang w:eastAsia="en-GB"/>
        </w:rPr>
        <w:t xml:space="preserve"> Funding </w:t>
      </w:r>
      <w:r w:rsidR="00B05E10" w:rsidRPr="00322E76">
        <w:rPr>
          <w:rFonts w:ascii="Arial" w:eastAsia="Times New Roman" w:hAnsi="Arial" w:cs="Arial"/>
          <w:bCs/>
          <w:lang w:eastAsia="en-GB"/>
        </w:rPr>
        <w:t xml:space="preserve">currently </w:t>
      </w:r>
      <w:r w:rsidRPr="00322E76">
        <w:rPr>
          <w:rFonts w:ascii="Arial" w:eastAsia="Times New Roman" w:hAnsi="Arial" w:cs="Arial"/>
          <w:bCs/>
          <w:lang w:eastAsia="en-GB"/>
        </w:rPr>
        <w:t xml:space="preserve">takes no </w:t>
      </w:r>
      <w:r w:rsidR="00B05E10" w:rsidRPr="00322E76">
        <w:rPr>
          <w:rFonts w:ascii="Arial" w:eastAsia="Times New Roman" w:hAnsi="Arial" w:cs="Arial"/>
          <w:bCs/>
          <w:lang w:eastAsia="en-GB"/>
        </w:rPr>
        <w:t xml:space="preserve">clear </w:t>
      </w:r>
      <w:r w:rsidRPr="00322E76">
        <w:rPr>
          <w:rFonts w:ascii="Arial" w:eastAsia="Times New Roman" w:hAnsi="Arial" w:cs="Arial"/>
          <w:bCs/>
          <w:lang w:eastAsia="en-GB"/>
        </w:rPr>
        <w:t>account of these factors. In the long-term, t</w:t>
      </w:r>
      <w:r w:rsidR="0073735F" w:rsidRPr="00322E76">
        <w:rPr>
          <w:rFonts w:ascii="Arial" w:eastAsia="Times New Roman" w:hAnsi="Arial" w:cs="Arial"/>
          <w:bCs/>
          <w:lang w:eastAsia="en-GB"/>
        </w:rPr>
        <w:t>he Family and Childcare Trust would like to see funding allocations informed by a robust assessment of the cost of delivering high quality care</w:t>
      </w:r>
      <w:r w:rsidR="00B05E10" w:rsidRPr="00322E76">
        <w:rPr>
          <w:rFonts w:ascii="Arial" w:eastAsia="Times New Roman" w:hAnsi="Arial" w:cs="Arial"/>
          <w:bCs/>
          <w:lang w:eastAsia="en-GB"/>
        </w:rPr>
        <w:t xml:space="preserve"> to ensure that the two year old offer is successful</w:t>
      </w:r>
      <w:r w:rsidR="0073735F" w:rsidRPr="00322E76">
        <w:rPr>
          <w:rFonts w:ascii="Arial" w:eastAsia="Times New Roman" w:hAnsi="Arial" w:cs="Arial"/>
          <w:bCs/>
          <w:lang w:eastAsia="en-GB"/>
        </w:rPr>
        <w:t>.</w:t>
      </w:r>
    </w:p>
    <w:p w:rsidR="00574958" w:rsidRPr="00944CAE" w:rsidRDefault="00574958" w:rsidP="00DD5E0F">
      <w:pPr>
        <w:spacing w:after="0" w:line="240" w:lineRule="auto"/>
        <w:rPr>
          <w:rFonts w:ascii="Arial" w:eastAsia="Times New Roman" w:hAnsi="Arial" w:cs="Arial"/>
          <w:b/>
          <w:bCs/>
          <w:color w:val="444444"/>
          <w:lang w:eastAsia="en-GB"/>
        </w:rPr>
      </w:pPr>
    </w:p>
    <w:p w:rsidR="002C3CEF" w:rsidRPr="00944CAE" w:rsidRDefault="00FE6AE1" w:rsidP="00FE6AE1">
      <w:pPr>
        <w:spacing w:after="0" w:line="240" w:lineRule="auto"/>
        <w:rPr>
          <w:rFonts w:ascii="Arial" w:eastAsia="Times New Roman" w:hAnsi="Arial" w:cs="Arial"/>
          <w:bCs/>
          <w:lang w:eastAsia="en-GB"/>
        </w:rPr>
      </w:pPr>
      <w:r w:rsidRPr="00944CAE">
        <w:rPr>
          <w:rFonts w:ascii="Arial" w:eastAsia="Times New Roman" w:hAnsi="Arial" w:cs="Arial"/>
          <w:bCs/>
          <w:lang w:eastAsia="en-GB"/>
        </w:rPr>
        <w:t xml:space="preserve">Given that the majority of </w:t>
      </w:r>
      <w:r w:rsidR="00B448D0" w:rsidRPr="00944CAE">
        <w:rPr>
          <w:rFonts w:ascii="Arial" w:eastAsia="Times New Roman" w:hAnsi="Arial" w:cs="Arial"/>
          <w:bCs/>
          <w:lang w:eastAsia="en-GB"/>
        </w:rPr>
        <w:t>local authoritie</w:t>
      </w:r>
      <w:r w:rsidRPr="00944CAE">
        <w:rPr>
          <w:rFonts w:ascii="Arial" w:eastAsia="Times New Roman" w:hAnsi="Arial" w:cs="Arial"/>
          <w:bCs/>
          <w:lang w:eastAsia="en-GB"/>
        </w:rPr>
        <w:t xml:space="preserve">s are gaining funding, and some are gaining considerably, </w:t>
      </w:r>
      <w:r w:rsidR="002C3CEF" w:rsidRPr="00944CAE">
        <w:rPr>
          <w:rFonts w:ascii="Arial" w:eastAsia="Times New Roman" w:hAnsi="Arial" w:cs="Arial"/>
          <w:bCs/>
          <w:lang w:eastAsia="en-GB"/>
        </w:rPr>
        <w:t xml:space="preserve">a target </w:t>
      </w:r>
      <w:r w:rsidRPr="00944CAE">
        <w:rPr>
          <w:rFonts w:ascii="Arial" w:eastAsia="Times New Roman" w:hAnsi="Arial" w:cs="Arial"/>
          <w:bCs/>
          <w:lang w:eastAsia="en-GB"/>
        </w:rPr>
        <w:t xml:space="preserve">for them to pass through </w:t>
      </w:r>
      <w:r w:rsidR="002C3CEF" w:rsidRPr="00944CAE">
        <w:rPr>
          <w:rFonts w:ascii="Arial" w:eastAsia="Times New Roman" w:hAnsi="Arial" w:cs="Arial"/>
          <w:bCs/>
          <w:lang w:eastAsia="en-GB"/>
        </w:rPr>
        <w:t>funding</w:t>
      </w:r>
      <w:r w:rsidRPr="00944CAE">
        <w:rPr>
          <w:rFonts w:ascii="Arial" w:eastAsia="Times New Roman" w:hAnsi="Arial" w:cs="Arial"/>
          <w:bCs/>
          <w:lang w:eastAsia="en-GB"/>
        </w:rPr>
        <w:t xml:space="preserve"> is sensible and will ensure that the additional funding reaches the front line to improve quality</w:t>
      </w:r>
      <w:r w:rsidRPr="00944CAE">
        <w:rPr>
          <w:rFonts w:ascii="Arial" w:eastAsia="Times New Roman" w:hAnsi="Arial" w:cs="Arial"/>
          <w:b/>
          <w:bCs/>
          <w:lang w:eastAsia="en-GB"/>
        </w:rPr>
        <w:t xml:space="preserve">. </w:t>
      </w:r>
      <w:r w:rsidRPr="00944CAE">
        <w:rPr>
          <w:rFonts w:ascii="Arial" w:eastAsia="Times New Roman" w:hAnsi="Arial" w:cs="Arial"/>
          <w:bCs/>
          <w:lang w:eastAsia="en-GB"/>
        </w:rPr>
        <w:t xml:space="preserve">However, the introduction of the cap suggested that there are concerns that </w:t>
      </w:r>
      <w:r w:rsidR="004E58E5" w:rsidRPr="00944CAE">
        <w:rPr>
          <w:rFonts w:ascii="Arial" w:eastAsia="Times New Roman" w:hAnsi="Arial" w:cs="Arial"/>
          <w:bCs/>
          <w:lang w:eastAsia="en-GB"/>
        </w:rPr>
        <w:t>local authorities</w:t>
      </w:r>
      <w:r w:rsidR="006F4336" w:rsidRPr="00944CAE">
        <w:rPr>
          <w:rFonts w:ascii="Arial" w:eastAsia="Times New Roman" w:hAnsi="Arial" w:cs="Arial"/>
          <w:bCs/>
          <w:lang w:eastAsia="en-GB"/>
        </w:rPr>
        <w:t xml:space="preserve"> </w:t>
      </w:r>
      <w:r w:rsidRPr="00944CAE">
        <w:rPr>
          <w:rFonts w:ascii="Arial" w:eastAsia="Times New Roman" w:hAnsi="Arial" w:cs="Arial"/>
          <w:bCs/>
          <w:lang w:eastAsia="en-GB"/>
        </w:rPr>
        <w:t xml:space="preserve">are wasting money that could be going to providers. </w:t>
      </w:r>
      <w:r w:rsidR="0099064C" w:rsidRPr="00944CAE">
        <w:rPr>
          <w:rFonts w:ascii="Arial" w:eastAsia="Times New Roman" w:hAnsi="Arial" w:cs="Arial"/>
          <w:bCs/>
          <w:lang w:eastAsia="en-GB"/>
        </w:rPr>
        <w:t xml:space="preserve">In fact, </w:t>
      </w:r>
      <w:r w:rsidR="004E58E5" w:rsidRPr="00944CAE">
        <w:rPr>
          <w:rFonts w:ascii="Arial" w:eastAsia="Times New Roman" w:hAnsi="Arial" w:cs="Arial"/>
          <w:bCs/>
          <w:lang w:eastAsia="en-GB"/>
        </w:rPr>
        <w:t xml:space="preserve">we have found that this funding can </w:t>
      </w:r>
      <w:r w:rsidR="00DE7E22" w:rsidRPr="00944CAE">
        <w:rPr>
          <w:rFonts w:ascii="Arial" w:eastAsia="Times New Roman" w:hAnsi="Arial" w:cs="Arial"/>
          <w:bCs/>
          <w:lang w:eastAsia="en-GB"/>
        </w:rPr>
        <w:t xml:space="preserve">generally </w:t>
      </w:r>
      <w:r w:rsidR="004E58E5" w:rsidRPr="00944CAE">
        <w:rPr>
          <w:rFonts w:ascii="Arial" w:eastAsia="Times New Roman" w:hAnsi="Arial" w:cs="Arial"/>
          <w:bCs/>
          <w:lang w:eastAsia="en-GB"/>
        </w:rPr>
        <w:t xml:space="preserve">be traced to specific uses </w:t>
      </w:r>
      <w:r w:rsidR="002C3CEF" w:rsidRPr="00944CAE">
        <w:rPr>
          <w:rFonts w:ascii="Arial" w:eastAsia="Times New Roman" w:hAnsi="Arial" w:cs="Arial"/>
          <w:bCs/>
          <w:lang w:eastAsia="en-GB"/>
        </w:rPr>
        <w:t xml:space="preserve">other than staff or administration costs </w:t>
      </w:r>
      <w:r w:rsidR="004E58E5" w:rsidRPr="00944CAE">
        <w:rPr>
          <w:rFonts w:ascii="Arial" w:eastAsia="Times New Roman" w:hAnsi="Arial" w:cs="Arial"/>
          <w:bCs/>
          <w:lang w:eastAsia="en-GB"/>
        </w:rPr>
        <w:t>such as</w:t>
      </w:r>
      <w:r w:rsidR="00DE7E22" w:rsidRPr="00944CAE">
        <w:rPr>
          <w:rFonts w:ascii="Arial" w:eastAsia="Times New Roman" w:hAnsi="Arial" w:cs="Arial"/>
          <w:bCs/>
          <w:lang w:eastAsia="en-GB"/>
        </w:rPr>
        <w:t xml:space="preserve"> grants for maintained early years providers, funding for </w:t>
      </w:r>
      <w:r w:rsidR="004E58E5" w:rsidRPr="00944CAE">
        <w:rPr>
          <w:rFonts w:ascii="Arial" w:eastAsia="Times New Roman" w:hAnsi="Arial" w:cs="Arial"/>
          <w:bCs/>
          <w:lang w:eastAsia="en-GB"/>
        </w:rPr>
        <w:t>free school meals</w:t>
      </w:r>
      <w:r w:rsidR="00DE7E22" w:rsidRPr="00944CAE">
        <w:rPr>
          <w:rFonts w:ascii="Arial" w:eastAsia="Times New Roman" w:hAnsi="Arial" w:cs="Arial"/>
          <w:bCs/>
          <w:lang w:eastAsia="en-GB"/>
        </w:rPr>
        <w:t xml:space="preserve"> in PVI settings</w:t>
      </w:r>
      <w:r w:rsidR="004E58E5" w:rsidRPr="00944CAE">
        <w:rPr>
          <w:rFonts w:ascii="Arial" w:eastAsia="Times New Roman" w:hAnsi="Arial" w:cs="Arial"/>
          <w:bCs/>
          <w:lang w:eastAsia="en-GB"/>
        </w:rPr>
        <w:t>,</w:t>
      </w:r>
      <w:r w:rsidR="002C3CEF" w:rsidRPr="00944CAE">
        <w:rPr>
          <w:rFonts w:ascii="Arial" w:eastAsia="Times New Roman" w:hAnsi="Arial" w:cs="Arial"/>
          <w:bCs/>
          <w:lang w:eastAsia="en-GB"/>
        </w:rPr>
        <w:t xml:space="preserve"> a package of</w:t>
      </w:r>
      <w:r w:rsidR="004E58E5" w:rsidRPr="00944CAE">
        <w:rPr>
          <w:rFonts w:ascii="Arial" w:eastAsia="Times New Roman" w:hAnsi="Arial" w:cs="Arial"/>
          <w:bCs/>
          <w:lang w:eastAsia="en-GB"/>
        </w:rPr>
        <w:t xml:space="preserve"> family support </w:t>
      </w:r>
      <w:r w:rsidR="002C3CEF" w:rsidRPr="00944CAE">
        <w:rPr>
          <w:rFonts w:ascii="Arial" w:eastAsia="Times New Roman" w:hAnsi="Arial" w:cs="Arial"/>
          <w:bCs/>
          <w:lang w:eastAsia="en-GB"/>
        </w:rPr>
        <w:t>delivered</w:t>
      </w:r>
      <w:r w:rsidR="004E58E5" w:rsidRPr="00944CAE">
        <w:rPr>
          <w:rFonts w:ascii="Arial" w:eastAsia="Times New Roman" w:hAnsi="Arial" w:cs="Arial"/>
          <w:bCs/>
          <w:lang w:eastAsia="en-GB"/>
        </w:rPr>
        <w:t xml:space="preserve"> </w:t>
      </w:r>
      <w:r w:rsidR="002C3CEF" w:rsidRPr="00944CAE">
        <w:rPr>
          <w:rFonts w:ascii="Arial" w:eastAsia="Times New Roman" w:hAnsi="Arial" w:cs="Arial"/>
          <w:bCs/>
          <w:lang w:eastAsia="en-GB"/>
        </w:rPr>
        <w:t xml:space="preserve">alongside the free offer, </w:t>
      </w:r>
      <w:r w:rsidR="004E58E5" w:rsidRPr="00944CAE">
        <w:rPr>
          <w:rFonts w:ascii="Arial" w:eastAsia="Times New Roman" w:hAnsi="Arial" w:cs="Arial"/>
          <w:bCs/>
          <w:lang w:eastAsia="en-GB"/>
        </w:rPr>
        <w:t>developing</w:t>
      </w:r>
      <w:r w:rsidR="002C3CEF" w:rsidRPr="00944CAE">
        <w:rPr>
          <w:rFonts w:ascii="Arial" w:eastAsia="Times New Roman" w:hAnsi="Arial" w:cs="Arial"/>
          <w:bCs/>
          <w:lang w:eastAsia="en-GB"/>
        </w:rPr>
        <w:t xml:space="preserve"> two year old places and</w:t>
      </w:r>
      <w:r w:rsidR="004E58E5" w:rsidRPr="00944CAE">
        <w:rPr>
          <w:rFonts w:ascii="Arial" w:eastAsia="Times New Roman" w:hAnsi="Arial" w:cs="Arial"/>
          <w:bCs/>
          <w:lang w:eastAsia="en-GB"/>
        </w:rPr>
        <w:t xml:space="preserve"> increasing </w:t>
      </w:r>
      <w:r w:rsidR="002C3CEF" w:rsidRPr="00944CAE">
        <w:rPr>
          <w:rFonts w:ascii="Arial" w:eastAsia="Times New Roman" w:hAnsi="Arial" w:cs="Arial"/>
          <w:bCs/>
          <w:lang w:eastAsia="en-GB"/>
        </w:rPr>
        <w:t xml:space="preserve">the number of </w:t>
      </w:r>
      <w:r w:rsidR="004E58E5" w:rsidRPr="00944CAE">
        <w:rPr>
          <w:rFonts w:ascii="Arial" w:eastAsia="Times New Roman" w:hAnsi="Arial" w:cs="Arial"/>
          <w:bCs/>
          <w:lang w:eastAsia="en-GB"/>
        </w:rPr>
        <w:t>pl</w:t>
      </w:r>
      <w:r w:rsidR="002C3CEF" w:rsidRPr="00944CAE">
        <w:rPr>
          <w:rFonts w:ascii="Arial" w:eastAsia="Times New Roman" w:hAnsi="Arial" w:cs="Arial"/>
          <w:bCs/>
          <w:lang w:eastAsia="en-GB"/>
        </w:rPr>
        <w:t>aces available to children with SEND</w:t>
      </w:r>
      <w:r w:rsidR="004E58E5" w:rsidRPr="00944CAE">
        <w:rPr>
          <w:rFonts w:ascii="Arial" w:eastAsia="Times New Roman" w:hAnsi="Arial" w:cs="Arial"/>
          <w:bCs/>
          <w:lang w:eastAsia="en-GB"/>
        </w:rPr>
        <w:t>.</w:t>
      </w:r>
      <w:r w:rsidR="002C3CEF" w:rsidRPr="00944CAE">
        <w:rPr>
          <w:rFonts w:ascii="Arial" w:eastAsia="Times New Roman" w:hAnsi="Arial" w:cs="Arial"/>
          <w:bCs/>
          <w:lang w:eastAsia="en-GB"/>
        </w:rPr>
        <w:t xml:space="preserve"> The type of services that providers might buy back appear to constitute a relatively small proportion of centrally retained spending.</w:t>
      </w:r>
      <w:r w:rsidR="004E58E5" w:rsidRPr="00944CAE">
        <w:rPr>
          <w:rFonts w:ascii="Arial" w:eastAsia="Times New Roman" w:hAnsi="Arial" w:cs="Arial"/>
          <w:bCs/>
          <w:lang w:eastAsia="en-GB"/>
        </w:rPr>
        <w:t xml:space="preserve"> </w:t>
      </w:r>
      <w:r w:rsidR="002C3CEF" w:rsidRPr="00944CAE">
        <w:rPr>
          <w:rFonts w:ascii="Arial" w:eastAsia="Times New Roman" w:hAnsi="Arial" w:cs="Arial"/>
          <w:bCs/>
          <w:lang w:eastAsia="en-GB"/>
        </w:rPr>
        <w:t xml:space="preserve">As far as possible local authorities should </w:t>
      </w:r>
      <w:r w:rsidR="004E58E5" w:rsidRPr="00944CAE">
        <w:rPr>
          <w:rFonts w:ascii="Arial" w:eastAsia="Times New Roman" w:hAnsi="Arial" w:cs="Arial"/>
          <w:bCs/>
          <w:lang w:eastAsia="en-GB"/>
        </w:rPr>
        <w:t xml:space="preserve">continue to have the flexibility to </w:t>
      </w:r>
      <w:r w:rsidR="002C3CEF" w:rsidRPr="00944CAE">
        <w:rPr>
          <w:rFonts w:ascii="Arial" w:eastAsia="Times New Roman" w:hAnsi="Arial" w:cs="Arial"/>
          <w:bCs/>
          <w:lang w:eastAsia="en-GB"/>
        </w:rPr>
        <w:t xml:space="preserve">make strategic decisions to direct funding to improve outcomes for children </w:t>
      </w:r>
      <w:r w:rsidR="004E58E5" w:rsidRPr="00944CAE">
        <w:rPr>
          <w:rFonts w:ascii="Arial" w:eastAsia="Times New Roman" w:hAnsi="Arial" w:cs="Arial"/>
          <w:bCs/>
          <w:lang w:eastAsia="en-GB"/>
        </w:rPr>
        <w:t xml:space="preserve">in light of local circumstances. </w:t>
      </w:r>
    </w:p>
    <w:p w:rsidR="002C3CEF" w:rsidRPr="00944CAE" w:rsidRDefault="002C3CEF" w:rsidP="00FE6AE1">
      <w:pPr>
        <w:spacing w:after="0" w:line="240" w:lineRule="auto"/>
        <w:rPr>
          <w:rFonts w:ascii="Arial" w:eastAsia="Times New Roman" w:hAnsi="Arial" w:cs="Arial"/>
          <w:bCs/>
          <w:lang w:eastAsia="en-GB"/>
        </w:rPr>
      </w:pPr>
    </w:p>
    <w:p w:rsidR="002C3CEF" w:rsidRPr="00944CAE" w:rsidRDefault="004E58E5" w:rsidP="00FE6AE1">
      <w:pPr>
        <w:spacing w:after="0" w:line="240" w:lineRule="auto"/>
        <w:rPr>
          <w:rFonts w:ascii="Arial" w:eastAsia="Times New Roman" w:hAnsi="Arial" w:cs="Arial"/>
          <w:bCs/>
          <w:lang w:eastAsia="en-GB"/>
        </w:rPr>
      </w:pPr>
      <w:r w:rsidRPr="00944CAE">
        <w:rPr>
          <w:rFonts w:ascii="Arial" w:eastAsia="Times New Roman" w:hAnsi="Arial" w:cs="Arial"/>
          <w:bCs/>
          <w:lang w:eastAsia="en-GB"/>
        </w:rPr>
        <w:t>We are also concerned that the Department’s data on centrally</w:t>
      </w:r>
      <w:r w:rsidR="002C3CEF" w:rsidRPr="00944CAE">
        <w:rPr>
          <w:rFonts w:ascii="Arial" w:eastAsia="Times New Roman" w:hAnsi="Arial" w:cs="Arial"/>
          <w:bCs/>
          <w:lang w:eastAsia="en-GB"/>
        </w:rPr>
        <w:t xml:space="preserve"> retained funding</w:t>
      </w:r>
      <w:r w:rsidRPr="00944CAE">
        <w:rPr>
          <w:rFonts w:ascii="Arial" w:eastAsia="Times New Roman" w:hAnsi="Arial" w:cs="Arial"/>
          <w:bCs/>
          <w:lang w:eastAsia="en-GB"/>
        </w:rPr>
        <w:t xml:space="preserve"> is not complete. </w:t>
      </w:r>
      <w:r w:rsidR="002C3CEF" w:rsidRPr="00944CAE">
        <w:rPr>
          <w:rFonts w:ascii="Arial" w:eastAsia="Times New Roman" w:hAnsi="Arial" w:cs="Arial"/>
          <w:bCs/>
          <w:lang w:eastAsia="en-GB"/>
        </w:rPr>
        <w:t>It</w:t>
      </w:r>
      <w:r w:rsidRPr="00944CAE">
        <w:rPr>
          <w:rFonts w:ascii="Arial" w:eastAsia="Times New Roman" w:hAnsi="Arial" w:cs="Arial"/>
          <w:bCs/>
          <w:lang w:eastAsia="en-GB"/>
        </w:rPr>
        <w:t xml:space="preserve"> appears that </w:t>
      </w:r>
      <w:r w:rsidR="002C3CEF" w:rsidRPr="00944CAE">
        <w:rPr>
          <w:rFonts w:ascii="Arial" w:eastAsia="Times New Roman" w:hAnsi="Arial" w:cs="Arial"/>
          <w:bCs/>
          <w:lang w:eastAsia="en-GB"/>
        </w:rPr>
        <w:t>29 local authorities claimed to have no centrally retained spending in 2015/16</w:t>
      </w:r>
      <w:r w:rsidRPr="00944CAE">
        <w:rPr>
          <w:rFonts w:ascii="Arial" w:eastAsia="Times New Roman" w:hAnsi="Arial" w:cs="Arial"/>
          <w:bCs/>
          <w:lang w:eastAsia="en-GB"/>
        </w:rPr>
        <w:t>.</w:t>
      </w:r>
      <w:r w:rsidR="002C3CEF" w:rsidRPr="00944CAE">
        <w:rPr>
          <w:rFonts w:ascii="Arial" w:eastAsia="Times New Roman" w:hAnsi="Arial" w:cs="Arial"/>
          <w:bCs/>
          <w:lang w:eastAsia="en-GB"/>
        </w:rPr>
        <w:t xml:space="preserve"> Without these ‘nil returns’, the average spend across the remaining local authorities is 8.4 per cent. We know that many if not all of these 29 local authorities do in fact spend funding centrally on early years support and it is likely that funding for these services is simply coming from elsewhere in the local authority’s budget. We are therefore concerned that both the seven and five per cent targets are based on a </w:t>
      </w:r>
      <w:r w:rsidR="0053675C" w:rsidRPr="00944CAE">
        <w:rPr>
          <w:rFonts w:ascii="Arial" w:eastAsia="Times New Roman" w:hAnsi="Arial" w:cs="Arial"/>
          <w:bCs/>
          <w:lang w:eastAsia="en-GB"/>
        </w:rPr>
        <w:t>very rough</w:t>
      </w:r>
      <w:r w:rsidR="002C3CEF" w:rsidRPr="00944CAE">
        <w:rPr>
          <w:rFonts w:ascii="Arial" w:eastAsia="Times New Roman" w:hAnsi="Arial" w:cs="Arial"/>
          <w:bCs/>
          <w:lang w:eastAsia="en-GB"/>
        </w:rPr>
        <w:t xml:space="preserve"> estimate and could be excessively blunt</w:t>
      </w:r>
      <w:r w:rsidR="00905A03" w:rsidRPr="00944CAE">
        <w:rPr>
          <w:rFonts w:ascii="Arial" w:eastAsia="Times New Roman" w:hAnsi="Arial" w:cs="Arial"/>
          <w:bCs/>
          <w:lang w:eastAsia="en-GB"/>
        </w:rPr>
        <w:t>.</w:t>
      </w:r>
      <w:r w:rsidR="00FE6AE1" w:rsidRPr="00944CAE">
        <w:rPr>
          <w:rFonts w:ascii="Arial" w:eastAsia="Times New Roman" w:hAnsi="Arial" w:cs="Arial"/>
          <w:bCs/>
          <w:lang w:eastAsia="en-GB"/>
        </w:rPr>
        <w:t xml:space="preserve"> </w:t>
      </w:r>
      <w:r w:rsidR="0053675C" w:rsidRPr="00944CAE">
        <w:rPr>
          <w:rFonts w:ascii="Arial" w:eastAsia="Times New Roman" w:hAnsi="Arial" w:cs="Arial"/>
          <w:bCs/>
          <w:lang w:eastAsia="en-GB"/>
        </w:rPr>
        <w:t>We also note that among the local authorities that did report centrally retaining spending, there is very significant variation, ranging from less than one per cent to 32 per cent, with a standard deviation</w:t>
      </w:r>
      <w:r w:rsidR="00905A03" w:rsidRPr="00944CAE">
        <w:rPr>
          <w:rFonts w:ascii="Arial" w:eastAsia="Times New Roman" w:hAnsi="Arial" w:cs="Arial"/>
          <w:bCs/>
          <w:lang w:eastAsia="en-GB"/>
        </w:rPr>
        <w:t xml:space="preserve"> from the average</w:t>
      </w:r>
      <w:r w:rsidR="0053675C" w:rsidRPr="00944CAE">
        <w:rPr>
          <w:rFonts w:ascii="Arial" w:eastAsia="Times New Roman" w:hAnsi="Arial" w:cs="Arial"/>
          <w:bCs/>
          <w:lang w:eastAsia="en-GB"/>
        </w:rPr>
        <w:t xml:space="preserve"> of 6.7 per cent. </w:t>
      </w:r>
    </w:p>
    <w:p w:rsidR="00F71126" w:rsidRPr="00944CAE" w:rsidRDefault="00F71126" w:rsidP="00FE6AE1">
      <w:pPr>
        <w:spacing w:after="0" w:line="240" w:lineRule="auto"/>
        <w:rPr>
          <w:rFonts w:ascii="Arial" w:eastAsia="Times New Roman" w:hAnsi="Arial" w:cs="Arial"/>
          <w:bCs/>
          <w:lang w:eastAsia="en-GB"/>
        </w:rPr>
      </w:pPr>
    </w:p>
    <w:p w:rsidR="00FE6AE1" w:rsidRPr="00944CAE" w:rsidRDefault="00FE6AE1" w:rsidP="00FE6AE1">
      <w:pPr>
        <w:spacing w:after="0" w:line="240" w:lineRule="auto"/>
        <w:rPr>
          <w:rFonts w:ascii="Arial" w:eastAsia="Times New Roman" w:hAnsi="Arial" w:cs="Arial"/>
          <w:b/>
          <w:bCs/>
          <w:lang w:eastAsia="en-GB"/>
        </w:rPr>
      </w:pPr>
      <w:r w:rsidRPr="00944CAE">
        <w:rPr>
          <w:rFonts w:ascii="Arial" w:eastAsia="Times New Roman" w:hAnsi="Arial" w:cs="Arial"/>
          <w:bCs/>
          <w:lang w:eastAsia="en-GB"/>
        </w:rPr>
        <w:t xml:space="preserve">We would like to see greater clarity of the role that local authorities are expected to play in managing the local childcare market and improving quality, </w:t>
      </w:r>
      <w:r w:rsidR="004E58E5" w:rsidRPr="00944CAE">
        <w:rPr>
          <w:rFonts w:ascii="Arial" w:eastAsia="Times New Roman" w:hAnsi="Arial" w:cs="Arial"/>
          <w:bCs/>
          <w:lang w:eastAsia="en-GB"/>
        </w:rPr>
        <w:t xml:space="preserve">more robust evidence on how this support is currently funded </w:t>
      </w:r>
      <w:r w:rsidRPr="00944CAE">
        <w:rPr>
          <w:rFonts w:ascii="Arial" w:eastAsia="Times New Roman" w:hAnsi="Arial" w:cs="Arial"/>
          <w:bCs/>
          <w:lang w:eastAsia="en-GB"/>
        </w:rPr>
        <w:t xml:space="preserve">and </w:t>
      </w:r>
      <w:r w:rsidR="004E58E5" w:rsidRPr="00944CAE">
        <w:rPr>
          <w:rFonts w:ascii="Arial" w:eastAsia="Times New Roman" w:hAnsi="Arial" w:cs="Arial"/>
          <w:bCs/>
          <w:lang w:eastAsia="en-GB"/>
        </w:rPr>
        <w:t>a clear understanding of how</w:t>
      </w:r>
      <w:r w:rsidRPr="00944CAE">
        <w:rPr>
          <w:rFonts w:ascii="Arial" w:eastAsia="Times New Roman" w:hAnsi="Arial" w:cs="Arial"/>
          <w:bCs/>
          <w:lang w:eastAsia="en-GB"/>
        </w:rPr>
        <w:t xml:space="preserve"> this role </w:t>
      </w:r>
      <w:r w:rsidR="004E58E5" w:rsidRPr="00944CAE">
        <w:rPr>
          <w:rFonts w:ascii="Arial" w:eastAsia="Times New Roman" w:hAnsi="Arial" w:cs="Arial"/>
          <w:bCs/>
          <w:lang w:eastAsia="en-GB"/>
        </w:rPr>
        <w:t xml:space="preserve">will </w:t>
      </w:r>
      <w:r w:rsidRPr="00944CAE">
        <w:rPr>
          <w:rFonts w:ascii="Arial" w:eastAsia="Times New Roman" w:hAnsi="Arial" w:cs="Arial"/>
          <w:bCs/>
          <w:lang w:eastAsia="en-GB"/>
        </w:rPr>
        <w:t>be adequately funded</w:t>
      </w:r>
      <w:r w:rsidR="004E58E5" w:rsidRPr="00944CAE">
        <w:rPr>
          <w:rFonts w:ascii="Arial" w:eastAsia="Times New Roman" w:hAnsi="Arial" w:cs="Arial"/>
          <w:bCs/>
          <w:lang w:eastAsia="en-GB"/>
        </w:rPr>
        <w:t xml:space="preserve"> in future</w:t>
      </w:r>
      <w:r w:rsidRPr="00944CAE">
        <w:rPr>
          <w:rFonts w:ascii="Arial" w:eastAsia="Times New Roman" w:hAnsi="Arial" w:cs="Arial"/>
          <w:bCs/>
          <w:lang w:eastAsia="en-GB"/>
        </w:rPr>
        <w:t xml:space="preserve">. </w:t>
      </w:r>
      <w:r w:rsidR="00F71126" w:rsidRPr="00944CAE">
        <w:rPr>
          <w:rFonts w:ascii="Arial" w:eastAsia="Times New Roman" w:hAnsi="Arial" w:cs="Arial"/>
          <w:bCs/>
          <w:lang w:eastAsia="en-GB"/>
        </w:rPr>
        <w:t>The Department must consider carefully the consequences for local services and ultimately families of imposing sudden and potentially dramatic changes in spending patterns within local authorities.</w:t>
      </w:r>
    </w:p>
    <w:p w:rsidR="0000694D" w:rsidRPr="00944CAE" w:rsidRDefault="0000694D" w:rsidP="0000694D">
      <w:pPr>
        <w:spacing w:after="0" w:line="240" w:lineRule="auto"/>
        <w:rPr>
          <w:rFonts w:ascii="Arial" w:eastAsia="Times New Roman" w:hAnsi="Arial" w:cs="Arial"/>
          <w:bCs/>
          <w:lang w:eastAsia="en-GB"/>
        </w:rPr>
      </w:pPr>
    </w:p>
    <w:p w:rsidR="003B3C4F" w:rsidRPr="00944CAE" w:rsidRDefault="003B3C4F" w:rsidP="003B3C4F">
      <w:pPr>
        <w:spacing w:after="0" w:line="240" w:lineRule="auto"/>
        <w:rPr>
          <w:rFonts w:ascii="Arial" w:eastAsia="Times New Roman" w:hAnsi="Arial" w:cs="Arial"/>
          <w:b/>
          <w:lang w:eastAsia="en-GB"/>
        </w:rPr>
      </w:pPr>
      <w:r w:rsidRPr="00944CAE">
        <w:rPr>
          <w:rFonts w:ascii="Arial" w:eastAsia="Times New Roman" w:hAnsi="Arial" w:cs="Arial"/>
          <w:b/>
          <w:bCs/>
          <w:lang w:eastAsia="en-GB"/>
        </w:rPr>
        <w:t>20</w:t>
      </w:r>
      <w:r w:rsidR="0000694D" w:rsidRPr="00944CAE">
        <w:rPr>
          <w:rFonts w:ascii="Arial" w:eastAsia="Times New Roman" w:hAnsi="Arial" w:cs="Arial"/>
          <w:b/>
          <w:bCs/>
          <w:lang w:eastAsia="en-GB"/>
        </w:rPr>
        <w:t xml:space="preserve"> </w:t>
      </w:r>
      <w:r w:rsidRPr="00944CAE">
        <w:rPr>
          <w:rFonts w:ascii="Arial" w:eastAsia="Times New Roman" w:hAnsi="Arial" w:cs="Arial"/>
          <w:b/>
          <w:lang w:eastAsia="en-GB"/>
        </w:rPr>
        <w:t>Should local authorities be required to give the same universal hourly base rate to all childcare providers in their area?</w:t>
      </w:r>
    </w:p>
    <w:p w:rsidR="003B3C4F" w:rsidRPr="00944CAE" w:rsidRDefault="003B3C4F" w:rsidP="003B3C4F">
      <w:pPr>
        <w:spacing w:after="0" w:line="240" w:lineRule="auto"/>
        <w:rPr>
          <w:rFonts w:ascii="Arial" w:eastAsia="Times New Roman" w:hAnsi="Arial" w:cs="Arial"/>
          <w:sz w:val="24"/>
          <w:szCs w:val="24"/>
          <w:lang w:eastAsia="en-GB"/>
        </w:rPr>
      </w:pPr>
      <w:r w:rsidRPr="00944CAE">
        <w:rPr>
          <w:rFonts w:ascii="Arial" w:eastAsia="Times New Roman" w:hAnsi="Arial" w:cs="Arial"/>
          <w:sz w:val="24"/>
          <w:szCs w:val="24"/>
        </w:rPr>
        <w:object w:dxaOrig="1440" w:dyaOrig="1440" w14:anchorId="794FED51">
          <v:shape id="_x0000_i1329" type="#_x0000_t75" style="width:20.1pt;height:17.6pt" o:ole="">
            <v:imagedata r:id="rId10" o:title=""/>
          </v:shape>
          <w:control r:id="rId55" w:name="DefaultOcxName64" w:shapeid="_x0000_i1329"/>
        </w:object>
      </w:r>
      <w:r w:rsidRPr="00944CAE">
        <w:rPr>
          <w:rFonts w:ascii="Arial" w:eastAsia="Times New Roman" w:hAnsi="Arial" w:cs="Arial"/>
          <w:sz w:val="24"/>
          <w:szCs w:val="24"/>
          <w:lang w:eastAsia="en-GB"/>
        </w:rPr>
        <w:t>Yes </w:t>
      </w:r>
      <w:r w:rsidRPr="00944CAE">
        <w:rPr>
          <w:rFonts w:ascii="Arial" w:eastAsia="Times New Roman" w:hAnsi="Arial" w:cs="Arial"/>
          <w:sz w:val="24"/>
          <w:szCs w:val="24"/>
          <w:lang w:eastAsia="en-GB"/>
        </w:rPr>
        <w:br/>
      </w:r>
      <w:r w:rsidRPr="00944CAE">
        <w:rPr>
          <w:rFonts w:ascii="Arial" w:eastAsia="Times New Roman" w:hAnsi="Arial" w:cs="Arial"/>
          <w:sz w:val="24"/>
          <w:szCs w:val="24"/>
        </w:rPr>
        <w:object w:dxaOrig="1440" w:dyaOrig="1440" w14:anchorId="211E28AF">
          <v:shape id="_x0000_i1332" type="#_x0000_t75" style="width:20.1pt;height:17.6pt" o:ole="">
            <v:imagedata r:id="rId10" o:title=""/>
          </v:shape>
          <w:control r:id="rId56" w:name="DefaultOcxName113" w:shapeid="_x0000_i1332"/>
        </w:object>
      </w:r>
      <w:r w:rsidRPr="00944CAE">
        <w:rPr>
          <w:rFonts w:ascii="Arial" w:eastAsia="Times New Roman" w:hAnsi="Arial" w:cs="Arial"/>
          <w:sz w:val="24"/>
          <w:szCs w:val="24"/>
          <w:lang w:eastAsia="en-GB"/>
        </w:rPr>
        <w:t>No </w:t>
      </w:r>
      <w:r w:rsidRPr="00944CAE">
        <w:rPr>
          <w:rFonts w:ascii="Arial" w:eastAsia="Times New Roman" w:hAnsi="Arial" w:cs="Arial"/>
          <w:sz w:val="24"/>
          <w:szCs w:val="24"/>
          <w:lang w:eastAsia="en-GB"/>
        </w:rPr>
        <w:br/>
      </w:r>
      <w:r w:rsidRPr="00944CAE">
        <w:rPr>
          <w:rFonts w:ascii="Arial" w:eastAsia="Times New Roman" w:hAnsi="Arial" w:cs="Arial"/>
          <w:sz w:val="24"/>
          <w:szCs w:val="24"/>
        </w:rPr>
        <w:object w:dxaOrig="1440" w:dyaOrig="1440" w14:anchorId="4059663D">
          <v:shape id="_x0000_i1335" type="#_x0000_t75" style="width:20.1pt;height:17.6pt" o:ole="">
            <v:imagedata r:id="rId8" o:title=""/>
          </v:shape>
          <w:control r:id="rId57" w:name="DefaultOcxName213" w:shapeid="_x0000_i1335"/>
        </w:object>
      </w:r>
      <w:r w:rsidRPr="00944CAE">
        <w:rPr>
          <w:rFonts w:ascii="Arial" w:eastAsia="Times New Roman" w:hAnsi="Arial" w:cs="Arial"/>
          <w:sz w:val="24"/>
          <w:szCs w:val="24"/>
          <w:lang w:eastAsia="en-GB"/>
        </w:rPr>
        <w:t>Unsure </w:t>
      </w:r>
      <w:r w:rsidRPr="00944CAE">
        <w:rPr>
          <w:rFonts w:ascii="Arial" w:eastAsia="Times New Roman" w:hAnsi="Arial" w:cs="Arial"/>
          <w:sz w:val="24"/>
          <w:szCs w:val="24"/>
          <w:lang w:eastAsia="en-GB"/>
        </w:rPr>
        <w:br/>
      </w:r>
    </w:p>
    <w:p w:rsidR="003B3C4F" w:rsidRPr="00944CAE" w:rsidRDefault="003B3C4F" w:rsidP="003B3C4F">
      <w:pPr>
        <w:spacing w:after="0" w:line="240" w:lineRule="auto"/>
        <w:rPr>
          <w:rFonts w:ascii="Arial" w:eastAsia="Times New Roman" w:hAnsi="Arial" w:cs="Arial"/>
          <w:b/>
          <w:lang w:eastAsia="en-GB"/>
        </w:rPr>
      </w:pPr>
      <w:r w:rsidRPr="00944CAE">
        <w:rPr>
          <w:rFonts w:ascii="Arial" w:eastAsia="Times New Roman" w:hAnsi="Arial" w:cs="Arial"/>
          <w:b/>
          <w:bCs/>
          <w:lang w:eastAsia="en-GB"/>
        </w:rPr>
        <w:lastRenderedPageBreak/>
        <w:t>21</w:t>
      </w:r>
      <w:r w:rsidR="0000694D" w:rsidRPr="00944CAE">
        <w:rPr>
          <w:rFonts w:ascii="Arial" w:eastAsia="Times New Roman" w:hAnsi="Arial" w:cs="Arial"/>
          <w:b/>
          <w:bCs/>
          <w:lang w:eastAsia="en-GB"/>
        </w:rPr>
        <w:t xml:space="preserve"> </w:t>
      </w:r>
      <w:r w:rsidRPr="00944CAE">
        <w:rPr>
          <w:rFonts w:ascii="Arial" w:eastAsia="Times New Roman" w:hAnsi="Arial" w:cs="Arial"/>
          <w:b/>
          <w:lang w:eastAsia="en-GB"/>
        </w:rPr>
        <w:t>Considering funding supplements that local authorities could choose to use (above the universal base rate)...</w:t>
      </w:r>
    </w:p>
    <w:tbl>
      <w:tblPr>
        <w:tblW w:w="9101" w:type="dxa"/>
        <w:tblCellMar>
          <w:top w:w="15" w:type="dxa"/>
          <w:left w:w="15" w:type="dxa"/>
          <w:bottom w:w="15" w:type="dxa"/>
          <w:right w:w="15" w:type="dxa"/>
        </w:tblCellMar>
        <w:tblLook w:val="04A0" w:firstRow="1" w:lastRow="0" w:firstColumn="1" w:lastColumn="0" w:noHBand="0" w:noVBand="1"/>
      </w:tblPr>
      <w:tblGrid>
        <w:gridCol w:w="1850"/>
        <w:gridCol w:w="2417"/>
        <w:gridCol w:w="2417"/>
        <w:gridCol w:w="2417"/>
      </w:tblGrid>
      <w:tr w:rsidR="003B3C4F" w:rsidRPr="00944CAE" w:rsidTr="00043B31">
        <w:trPr>
          <w:trHeight w:val="322"/>
          <w:tblHeader/>
        </w:trPr>
        <w:tc>
          <w:tcPr>
            <w:tcW w:w="1850" w:type="dxa"/>
            <w:shd w:val="clear" w:color="auto" w:fill="auto"/>
            <w:tcMar>
              <w:top w:w="168" w:type="dxa"/>
              <w:left w:w="240" w:type="dxa"/>
              <w:bottom w:w="192" w:type="dxa"/>
              <w:right w:w="0" w:type="dxa"/>
            </w:tcMar>
            <w:vAlign w:val="center"/>
            <w:hideMark/>
          </w:tcPr>
          <w:p w:rsidR="003B3C4F" w:rsidRPr="00944CAE" w:rsidRDefault="003B3C4F" w:rsidP="003B3C4F">
            <w:pPr>
              <w:spacing w:after="0" w:line="312" w:lineRule="atLeast"/>
              <w:rPr>
                <w:rFonts w:ascii="Arial" w:eastAsia="Times New Roman" w:hAnsi="Arial" w:cs="Arial"/>
                <w:color w:val="666666"/>
                <w:sz w:val="24"/>
                <w:szCs w:val="24"/>
                <w:lang w:eastAsia="en-GB"/>
              </w:rPr>
            </w:pPr>
          </w:p>
        </w:tc>
        <w:tc>
          <w:tcPr>
            <w:tcW w:w="2417" w:type="dxa"/>
            <w:shd w:val="clear" w:color="auto" w:fill="auto"/>
            <w:tcMar>
              <w:top w:w="168" w:type="dxa"/>
              <w:left w:w="120" w:type="dxa"/>
              <w:bottom w:w="192" w:type="dxa"/>
              <w:right w:w="120" w:type="dxa"/>
            </w:tcMar>
            <w:hideMark/>
          </w:tcPr>
          <w:p w:rsidR="003B3C4F" w:rsidRPr="00944CAE" w:rsidRDefault="003B3C4F" w:rsidP="003B3C4F">
            <w:pPr>
              <w:spacing w:after="0" w:line="312" w:lineRule="atLeast"/>
              <w:rPr>
                <w:rFonts w:ascii="Arial" w:eastAsia="Times New Roman" w:hAnsi="Arial" w:cs="Arial"/>
                <w:sz w:val="24"/>
                <w:szCs w:val="24"/>
                <w:lang w:eastAsia="en-GB"/>
              </w:rPr>
            </w:pPr>
            <w:r w:rsidRPr="00944CAE">
              <w:rPr>
                <w:rFonts w:ascii="Arial" w:eastAsia="Times New Roman" w:hAnsi="Arial" w:cs="Arial"/>
                <w:sz w:val="24"/>
                <w:szCs w:val="24"/>
                <w:lang w:eastAsia="en-GB"/>
              </w:rPr>
              <w:t>Yes</w:t>
            </w:r>
          </w:p>
        </w:tc>
        <w:tc>
          <w:tcPr>
            <w:tcW w:w="2417" w:type="dxa"/>
            <w:shd w:val="clear" w:color="auto" w:fill="auto"/>
            <w:tcMar>
              <w:top w:w="168" w:type="dxa"/>
              <w:left w:w="120" w:type="dxa"/>
              <w:bottom w:w="192" w:type="dxa"/>
              <w:right w:w="120" w:type="dxa"/>
            </w:tcMar>
            <w:hideMark/>
          </w:tcPr>
          <w:p w:rsidR="003B3C4F" w:rsidRPr="00944CAE" w:rsidRDefault="003B3C4F" w:rsidP="003B3C4F">
            <w:pPr>
              <w:spacing w:after="0" w:line="312" w:lineRule="atLeast"/>
              <w:rPr>
                <w:rFonts w:ascii="Arial" w:eastAsia="Times New Roman" w:hAnsi="Arial" w:cs="Arial"/>
                <w:sz w:val="24"/>
                <w:szCs w:val="24"/>
                <w:lang w:eastAsia="en-GB"/>
              </w:rPr>
            </w:pPr>
            <w:r w:rsidRPr="00944CAE">
              <w:rPr>
                <w:rFonts w:ascii="Arial" w:eastAsia="Times New Roman" w:hAnsi="Arial" w:cs="Arial"/>
                <w:sz w:val="24"/>
                <w:szCs w:val="24"/>
                <w:lang w:eastAsia="en-GB"/>
              </w:rPr>
              <w:t>No</w:t>
            </w:r>
          </w:p>
        </w:tc>
        <w:tc>
          <w:tcPr>
            <w:tcW w:w="2417" w:type="dxa"/>
            <w:shd w:val="clear" w:color="auto" w:fill="auto"/>
            <w:tcMar>
              <w:top w:w="168" w:type="dxa"/>
              <w:left w:w="120" w:type="dxa"/>
              <w:bottom w:w="192" w:type="dxa"/>
              <w:right w:w="120" w:type="dxa"/>
            </w:tcMar>
            <w:hideMark/>
          </w:tcPr>
          <w:p w:rsidR="003B3C4F" w:rsidRPr="00944CAE" w:rsidRDefault="003B3C4F" w:rsidP="003B3C4F">
            <w:pPr>
              <w:spacing w:after="0" w:line="312" w:lineRule="atLeast"/>
              <w:rPr>
                <w:rFonts w:ascii="Arial" w:eastAsia="Times New Roman" w:hAnsi="Arial" w:cs="Arial"/>
                <w:sz w:val="24"/>
                <w:szCs w:val="24"/>
                <w:lang w:eastAsia="en-GB"/>
              </w:rPr>
            </w:pPr>
            <w:r w:rsidRPr="00944CAE">
              <w:rPr>
                <w:rFonts w:ascii="Arial" w:eastAsia="Times New Roman" w:hAnsi="Arial" w:cs="Arial"/>
                <w:sz w:val="24"/>
                <w:szCs w:val="24"/>
                <w:lang w:eastAsia="en-GB"/>
              </w:rPr>
              <w:t>Unsure</w:t>
            </w:r>
          </w:p>
        </w:tc>
      </w:tr>
      <w:tr w:rsidR="003B3C4F" w:rsidRPr="00944CAE" w:rsidTr="00043B31">
        <w:trPr>
          <w:trHeight w:val="923"/>
        </w:trPr>
        <w:tc>
          <w:tcPr>
            <w:tcW w:w="1850" w:type="dxa"/>
            <w:tcBorders>
              <w:top w:val="single" w:sz="6" w:space="0" w:color="DDDDDD"/>
            </w:tcBorders>
            <w:shd w:val="clear" w:color="auto" w:fill="auto"/>
            <w:tcMar>
              <w:top w:w="168" w:type="dxa"/>
              <w:left w:w="240" w:type="dxa"/>
              <w:bottom w:w="192" w:type="dxa"/>
              <w:right w:w="0" w:type="dxa"/>
            </w:tcMar>
            <w:vAlign w:val="center"/>
            <w:hideMark/>
          </w:tcPr>
          <w:p w:rsidR="003B3C4F" w:rsidRPr="00944CAE" w:rsidRDefault="003B3C4F" w:rsidP="003B3C4F">
            <w:pPr>
              <w:spacing w:after="0" w:line="312" w:lineRule="atLeast"/>
              <w:rPr>
                <w:rFonts w:ascii="Arial" w:eastAsia="Times New Roman" w:hAnsi="Arial" w:cs="Arial"/>
                <w:color w:val="666666"/>
                <w:sz w:val="24"/>
                <w:szCs w:val="24"/>
                <w:lang w:eastAsia="en-GB"/>
              </w:rPr>
            </w:pPr>
            <w:r w:rsidRPr="00944CAE">
              <w:rPr>
                <w:rFonts w:ascii="Arial" w:eastAsia="Times New Roman" w:hAnsi="Arial" w:cs="Arial"/>
                <w:color w:val="666666"/>
                <w:sz w:val="24"/>
                <w:szCs w:val="24"/>
                <w:lang w:eastAsia="en-GB"/>
              </w:rPr>
              <w:t>Should local authorities be able to use funding supplements?</w:t>
            </w:r>
          </w:p>
        </w:tc>
        <w:tc>
          <w:tcPr>
            <w:tcW w:w="0" w:type="auto"/>
            <w:tcBorders>
              <w:top w:val="single" w:sz="6" w:space="0" w:color="DDDDDD"/>
            </w:tcBorders>
            <w:shd w:val="clear" w:color="auto" w:fill="auto"/>
            <w:tcMar>
              <w:top w:w="168" w:type="dxa"/>
              <w:left w:w="120" w:type="dxa"/>
              <w:bottom w:w="192" w:type="dxa"/>
              <w:right w:w="120" w:type="dxa"/>
            </w:tcMar>
            <w:vAlign w:val="center"/>
            <w:hideMark/>
          </w:tcPr>
          <w:p w:rsidR="003B3C4F" w:rsidRPr="00944CAE" w:rsidRDefault="003B3C4F" w:rsidP="003B3C4F">
            <w:pPr>
              <w:spacing w:after="0" w:line="312" w:lineRule="atLeast"/>
              <w:rPr>
                <w:rFonts w:ascii="Arial" w:eastAsia="Times New Roman" w:hAnsi="Arial" w:cs="Arial"/>
                <w:sz w:val="24"/>
                <w:szCs w:val="24"/>
                <w:lang w:eastAsia="en-GB"/>
              </w:rPr>
            </w:pPr>
            <w:r w:rsidRPr="00944CAE">
              <w:rPr>
                <w:rFonts w:ascii="Arial" w:eastAsia="Times New Roman" w:hAnsi="Arial" w:cs="Arial"/>
                <w:sz w:val="24"/>
                <w:szCs w:val="24"/>
              </w:rPr>
              <w:object w:dxaOrig="1440" w:dyaOrig="1440" w14:anchorId="0D7FED20">
                <v:shape id="_x0000_i1338" type="#_x0000_t75" style="width:20.1pt;height:17.6pt" o:ole="">
                  <v:imagedata r:id="rId8" o:title=""/>
                </v:shape>
                <w:control r:id="rId58" w:name="DefaultOcxName310" w:shapeid="_x0000_i1338"/>
              </w:object>
            </w:r>
          </w:p>
        </w:tc>
        <w:tc>
          <w:tcPr>
            <w:tcW w:w="0" w:type="auto"/>
            <w:tcBorders>
              <w:top w:val="single" w:sz="6" w:space="0" w:color="DDDDDD"/>
            </w:tcBorders>
            <w:shd w:val="clear" w:color="auto" w:fill="auto"/>
            <w:tcMar>
              <w:top w:w="168" w:type="dxa"/>
              <w:left w:w="120" w:type="dxa"/>
              <w:bottom w:w="192" w:type="dxa"/>
              <w:right w:w="120" w:type="dxa"/>
            </w:tcMar>
            <w:vAlign w:val="center"/>
            <w:hideMark/>
          </w:tcPr>
          <w:p w:rsidR="003B3C4F" w:rsidRPr="00944CAE" w:rsidRDefault="003B3C4F" w:rsidP="003B3C4F">
            <w:pPr>
              <w:spacing w:after="0" w:line="312" w:lineRule="atLeast"/>
              <w:rPr>
                <w:rFonts w:ascii="Arial" w:eastAsia="Times New Roman" w:hAnsi="Arial" w:cs="Arial"/>
                <w:sz w:val="24"/>
                <w:szCs w:val="24"/>
                <w:lang w:eastAsia="en-GB"/>
              </w:rPr>
            </w:pPr>
            <w:r w:rsidRPr="00944CAE">
              <w:rPr>
                <w:rFonts w:ascii="Arial" w:eastAsia="Times New Roman" w:hAnsi="Arial" w:cs="Arial"/>
                <w:sz w:val="24"/>
                <w:szCs w:val="24"/>
              </w:rPr>
              <w:object w:dxaOrig="1440" w:dyaOrig="1440" w14:anchorId="1BB3FEA0">
                <v:shape id="_x0000_i1341" type="#_x0000_t75" style="width:20.1pt;height:17.6pt" o:ole="">
                  <v:imagedata r:id="rId10" o:title=""/>
                </v:shape>
                <w:control r:id="rId59" w:name="DefaultOcxName410" w:shapeid="_x0000_i1341"/>
              </w:object>
            </w:r>
          </w:p>
        </w:tc>
        <w:tc>
          <w:tcPr>
            <w:tcW w:w="0" w:type="auto"/>
            <w:tcBorders>
              <w:top w:val="single" w:sz="6" w:space="0" w:color="DDDDDD"/>
            </w:tcBorders>
            <w:shd w:val="clear" w:color="auto" w:fill="auto"/>
            <w:tcMar>
              <w:top w:w="168" w:type="dxa"/>
              <w:left w:w="120" w:type="dxa"/>
              <w:bottom w:w="192" w:type="dxa"/>
              <w:right w:w="120" w:type="dxa"/>
            </w:tcMar>
            <w:vAlign w:val="center"/>
            <w:hideMark/>
          </w:tcPr>
          <w:p w:rsidR="003B3C4F" w:rsidRPr="00944CAE" w:rsidRDefault="003B3C4F" w:rsidP="003B3C4F">
            <w:pPr>
              <w:spacing w:after="0" w:line="312" w:lineRule="atLeast"/>
              <w:rPr>
                <w:rFonts w:ascii="Arial" w:eastAsia="Times New Roman" w:hAnsi="Arial" w:cs="Arial"/>
                <w:sz w:val="24"/>
                <w:szCs w:val="24"/>
                <w:lang w:eastAsia="en-GB"/>
              </w:rPr>
            </w:pPr>
            <w:r w:rsidRPr="00944CAE">
              <w:rPr>
                <w:rFonts w:ascii="Arial" w:eastAsia="Times New Roman" w:hAnsi="Arial" w:cs="Arial"/>
                <w:sz w:val="24"/>
                <w:szCs w:val="24"/>
              </w:rPr>
              <w:object w:dxaOrig="1440" w:dyaOrig="1440" w14:anchorId="3E4E6C14">
                <v:shape id="_x0000_i1344" type="#_x0000_t75" style="width:20.1pt;height:17.6pt" o:ole="">
                  <v:imagedata r:id="rId10" o:title=""/>
                </v:shape>
                <w:control r:id="rId60" w:name="DefaultOcxName510" w:shapeid="_x0000_i1344"/>
              </w:object>
            </w:r>
          </w:p>
        </w:tc>
      </w:tr>
      <w:tr w:rsidR="003B3C4F" w:rsidRPr="00944CAE" w:rsidTr="00043B31">
        <w:trPr>
          <w:trHeight w:val="1539"/>
        </w:trPr>
        <w:tc>
          <w:tcPr>
            <w:tcW w:w="1850" w:type="dxa"/>
            <w:tcBorders>
              <w:top w:val="single" w:sz="6" w:space="0" w:color="DDDDDD"/>
            </w:tcBorders>
            <w:shd w:val="clear" w:color="auto" w:fill="auto"/>
            <w:tcMar>
              <w:top w:w="168" w:type="dxa"/>
              <w:left w:w="240" w:type="dxa"/>
              <w:bottom w:w="192" w:type="dxa"/>
              <w:right w:w="0" w:type="dxa"/>
            </w:tcMar>
            <w:vAlign w:val="center"/>
            <w:hideMark/>
          </w:tcPr>
          <w:p w:rsidR="003B3C4F" w:rsidRPr="00944CAE" w:rsidRDefault="003B3C4F" w:rsidP="003B3C4F">
            <w:pPr>
              <w:spacing w:after="0" w:line="312" w:lineRule="atLeast"/>
              <w:rPr>
                <w:rFonts w:ascii="Arial" w:eastAsia="Times New Roman" w:hAnsi="Arial" w:cs="Arial"/>
                <w:color w:val="666666"/>
                <w:sz w:val="24"/>
                <w:szCs w:val="24"/>
                <w:lang w:eastAsia="en-GB"/>
              </w:rPr>
            </w:pPr>
            <w:r w:rsidRPr="00944CAE">
              <w:rPr>
                <w:rFonts w:ascii="Arial" w:eastAsia="Times New Roman" w:hAnsi="Arial" w:cs="Arial"/>
                <w:color w:val="666666"/>
                <w:sz w:val="24"/>
                <w:szCs w:val="24"/>
                <w:lang w:eastAsia="en-GB"/>
              </w:rPr>
              <w:t>Should there be a cap on the proportion of funding that is channeled through supplements?</w:t>
            </w:r>
          </w:p>
        </w:tc>
        <w:tc>
          <w:tcPr>
            <w:tcW w:w="0" w:type="auto"/>
            <w:tcBorders>
              <w:top w:val="single" w:sz="6" w:space="0" w:color="DDDDDD"/>
            </w:tcBorders>
            <w:shd w:val="clear" w:color="auto" w:fill="auto"/>
            <w:tcMar>
              <w:top w:w="168" w:type="dxa"/>
              <w:left w:w="120" w:type="dxa"/>
              <w:bottom w:w="192" w:type="dxa"/>
              <w:right w:w="120" w:type="dxa"/>
            </w:tcMar>
            <w:vAlign w:val="center"/>
            <w:hideMark/>
          </w:tcPr>
          <w:p w:rsidR="003B3C4F" w:rsidRPr="00944CAE" w:rsidRDefault="003B3C4F" w:rsidP="003B3C4F">
            <w:pPr>
              <w:spacing w:after="0" w:line="312" w:lineRule="atLeast"/>
              <w:rPr>
                <w:rFonts w:ascii="Arial" w:eastAsia="Times New Roman" w:hAnsi="Arial" w:cs="Arial"/>
                <w:sz w:val="24"/>
                <w:szCs w:val="24"/>
                <w:lang w:eastAsia="en-GB"/>
              </w:rPr>
            </w:pPr>
            <w:r w:rsidRPr="00944CAE">
              <w:rPr>
                <w:rFonts w:ascii="Arial" w:eastAsia="Times New Roman" w:hAnsi="Arial" w:cs="Arial"/>
                <w:sz w:val="24"/>
                <w:szCs w:val="24"/>
              </w:rPr>
              <w:object w:dxaOrig="1440" w:dyaOrig="1440" w14:anchorId="6D344837">
                <v:shape id="_x0000_i1347" type="#_x0000_t75" style="width:20.1pt;height:17.6pt" o:ole="">
                  <v:imagedata r:id="rId10" o:title=""/>
                </v:shape>
                <w:control r:id="rId61" w:name="DefaultOcxName63" w:shapeid="_x0000_i1347"/>
              </w:object>
            </w:r>
          </w:p>
        </w:tc>
        <w:tc>
          <w:tcPr>
            <w:tcW w:w="0" w:type="auto"/>
            <w:tcBorders>
              <w:top w:val="single" w:sz="6" w:space="0" w:color="DDDDDD"/>
            </w:tcBorders>
            <w:shd w:val="clear" w:color="auto" w:fill="auto"/>
            <w:tcMar>
              <w:top w:w="168" w:type="dxa"/>
              <w:left w:w="120" w:type="dxa"/>
              <w:bottom w:w="192" w:type="dxa"/>
              <w:right w:w="120" w:type="dxa"/>
            </w:tcMar>
            <w:vAlign w:val="center"/>
            <w:hideMark/>
          </w:tcPr>
          <w:p w:rsidR="003B3C4F" w:rsidRPr="00944CAE" w:rsidRDefault="003B3C4F" w:rsidP="003B3C4F">
            <w:pPr>
              <w:spacing w:after="0" w:line="312" w:lineRule="atLeast"/>
              <w:rPr>
                <w:rFonts w:ascii="Arial" w:eastAsia="Times New Roman" w:hAnsi="Arial" w:cs="Arial"/>
                <w:sz w:val="24"/>
                <w:szCs w:val="24"/>
                <w:lang w:eastAsia="en-GB"/>
              </w:rPr>
            </w:pPr>
            <w:r w:rsidRPr="00944CAE">
              <w:rPr>
                <w:rFonts w:ascii="Arial" w:eastAsia="Times New Roman" w:hAnsi="Arial" w:cs="Arial"/>
                <w:sz w:val="24"/>
                <w:szCs w:val="24"/>
              </w:rPr>
              <w:object w:dxaOrig="1440" w:dyaOrig="1440" w14:anchorId="6B530E02">
                <v:shape id="_x0000_i1350" type="#_x0000_t75" style="width:20.1pt;height:17.6pt" o:ole="">
                  <v:imagedata r:id="rId8" o:title=""/>
                </v:shape>
                <w:control r:id="rId62" w:name="DefaultOcxName73" w:shapeid="_x0000_i1350"/>
              </w:object>
            </w:r>
          </w:p>
        </w:tc>
        <w:tc>
          <w:tcPr>
            <w:tcW w:w="0" w:type="auto"/>
            <w:tcBorders>
              <w:top w:val="single" w:sz="6" w:space="0" w:color="DDDDDD"/>
            </w:tcBorders>
            <w:shd w:val="clear" w:color="auto" w:fill="auto"/>
            <w:tcMar>
              <w:top w:w="168" w:type="dxa"/>
              <w:left w:w="120" w:type="dxa"/>
              <w:bottom w:w="192" w:type="dxa"/>
              <w:right w:w="120" w:type="dxa"/>
            </w:tcMar>
            <w:vAlign w:val="center"/>
            <w:hideMark/>
          </w:tcPr>
          <w:p w:rsidR="003B3C4F" w:rsidRPr="00944CAE" w:rsidRDefault="003B3C4F" w:rsidP="003B3C4F">
            <w:pPr>
              <w:spacing w:after="0" w:line="312" w:lineRule="atLeast"/>
              <w:rPr>
                <w:rFonts w:ascii="Arial" w:eastAsia="Times New Roman" w:hAnsi="Arial" w:cs="Arial"/>
                <w:sz w:val="24"/>
                <w:szCs w:val="24"/>
                <w:lang w:eastAsia="en-GB"/>
              </w:rPr>
            </w:pPr>
            <w:r w:rsidRPr="00944CAE">
              <w:rPr>
                <w:rFonts w:ascii="Arial" w:eastAsia="Times New Roman" w:hAnsi="Arial" w:cs="Arial"/>
                <w:sz w:val="24"/>
                <w:szCs w:val="24"/>
              </w:rPr>
              <w:object w:dxaOrig="1440" w:dyaOrig="1440" w14:anchorId="2A809A5C">
                <v:shape id="_x0000_i1353" type="#_x0000_t75" style="width:20.1pt;height:17.6pt" o:ole="">
                  <v:imagedata r:id="rId10" o:title=""/>
                </v:shape>
                <w:control r:id="rId63" w:name="DefaultOcxName82" w:shapeid="_x0000_i1353"/>
              </w:object>
            </w:r>
          </w:p>
        </w:tc>
      </w:tr>
    </w:tbl>
    <w:p w:rsidR="003B3C4F" w:rsidRPr="00944CAE" w:rsidRDefault="003B3C4F" w:rsidP="003B3C4F">
      <w:pPr>
        <w:spacing w:after="0" w:line="240" w:lineRule="auto"/>
        <w:rPr>
          <w:rFonts w:ascii="Arial" w:eastAsia="Times New Roman" w:hAnsi="Arial" w:cs="Arial"/>
          <w:b/>
          <w:lang w:eastAsia="en-GB"/>
        </w:rPr>
      </w:pPr>
      <w:r w:rsidRPr="00944CAE">
        <w:rPr>
          <w:rFonts w:ascii="Arial" w:eastAsia="Times New Roman" w:hAnsi="Arial" w:cs="Arial"/>
          <w:b/>
          <w:bCs/>
          <w:lang w:eastAsia="en-GB"/>
        </w:rPr>
        <w:t>22</w:t>
      </w:r>
      <w:r w:rsidR="0000694D" w:rsidRPr="00944CAE">
        <w:rPr>
          <w:rFonts w:ascii="Arial" w:eastAsia="Times New Roman" w:hAnsi="Arial" w:cs="Arial"/>
          <w:b/>
          <w:bCs/>
          <w:lang w:eastAsia="en-GB"/>
        </w:rPr>
        <w:t xml:space="preserve"> </w:t>
      </w:r>
      <w:r w:rsidRPr="00944CAE">
        <w:rPr>
          <w:rFonts w:ascii="Arial" w:eastAsia="Times New Roman" w:hAnsi="Arial" w:cs="Arial"/>
          <w:b/>
          <w:lang w:eastAsia="en-GB"/>
        </w:rPr>
        <w:t>If you agree that there should be cap on the proportion of funding that is channeled through supplements, should the cap be set at 10%?</w:t>
      </w:r>
    </w:p>
    <w:p w:rsidR="003B3C4F" w:rsidRPr="00944CAE" w:rsidRDefault="003B3C4F" w:rsidP="003B3C4F">
      <w:pPr>
        <w:spacing w:after="0" w:line="240" w:lineRule="auto"/>
        <w:rPr>
          <w:rFonts w:ascii="Arial" w:eastAsia="Times New Roman" w:hAnsi="Arial" w:cs="Arial"/>
          <w:sz w:val="24"/>
          <w:szCs w:val="24"/>
          <w:lang w:eastAsia="en-GB"/>
        </w:rPr>
      </w:pPr>
      <w:r w:rsidRPr="00944CAE">
        <w:rPr>
          <w:rFonts w:ascii="Arial" w:eastAsia="Times New Roman" w:hAnsi="Arial" w:cs="Arial"/>
          <w:sz w:val="24"/>
          <w:szCs w:val="24"/>
        </w:rPr>
        <w:object w:dxaOrig="1440" w:dyaOrig="1440" w14:anchorId="0F3CA998">
          <v:shape id="_x0000_i1356" type="#_x0000_t75" style="width:20.1pt;height:17.6pt" o:ole="">
            <v:imagedata r:id="rId10" o:title=""/>
          </v:shape>
          <w:control r:id="rId64" w:name="DefaultOcxName91" w:shapeid="_x0000_i1356"/>
        </w:object>
      </w:r>
      <w:r w:rsidRPr="00944CAE">
        <w:rPr>
          <w:rFonts w:ascii="Arial" w:eastAsia="Times New Roman" w:hAnsi="Arial" w:cs="Arial"/>
          <w:sz w:val="24"/>
          <w:szCs w:val="24"/>
          <w:lang w:eastAsia="en-GB"/>
        </w:rPr>
        <w:t>Yes, I agree with a 10% cap </w:t>
      </w:r>
      <w:r w:rsidRPr="00944CAE">
        <w:rPr>
          <w:rFonts w:ascii="Arial" w:eastAsia="Times New Roman" w:hAnsi="Arial" w:cs="Arial"/>
          <w:sz w:val="24"/>
          <w:szCs w:val="24"/>
          <w:lang w:eastAsia="en-GB"/>
        </w:rPr>
        <w:br/>
      </w:r>
      <w:r w:rsidRPr="00944CAE">
        <w:rPr>
          <w:rFonts w:ascii="Arial" w:eastAsia="Times New Roman" w:hAnsi="Arial" w:cs="Arial"/>
          <w:sz w:val="24"/>
          <w:szCs w:val="24"/>
        </w:rPr>
        <w:object w:dxaOrig="1440" w:dyaOrig="1440" w14:anchorId="49AE47A7">
          <v:shape id="_x0000_i1359" type="#_x0000_t75" style="width:20.1pt;height:17.6pt" o:ole="">
            <v:imagedata r:id="rId10" o:title=""/>
          </v:shape>
          <w:control r:id="rId65" w:name="DefaultOcxName101" w:shapeid="_x0000_i1359"/>
        </w:object>
      </w:r>
      <w:r w:rsidRPr="00944CAE">
        <w:rPr>
          <w:rFonts w:ascii="Arial" w:eastAsia="Times New Roman" w:hAnsi="Arial" w:cs="Arial"/>
          <w:sz w:val="24"/>
          <w:szCs w:val="24"/>
          <w:lang w:eastAsia="en-GB"/>
        </w:rPr>
        <w:t>No, the cap should be higher than 10% </w:t>
      </w:r>
      <w:r w:rsidRPr="00944CAE">
        <w:rPr>
          <w:rFonts w:ascii="Arial" w:eastAsia="Times New Roman" w:hAnsi="Arial" w:cs="Arial"/>
          <w:sz w:val="24"/>
          <w:szCs w:val="24"/>
          <w:lang w:eastAsia="en-GB"/>
        </w:rPr>
        <w:br/>
      </w:r>
      <w:r w:rsidRPr="00944CAE">
        <w:rPr>
          <w:rFonts w:ascii="Arial" w:eastAsia="Times New Roman" w:hAnsi="Arial" w:cs="Arial"/>
          <w:sz w:val="24"/>
          <w:szCs w:val="24"/>
        </w:rPr>
        <w:object w:dxaOrig="1440" w:dyaOrig="1440" w14:anchorId="3A6CF2AF">
          <v:shape id="_x0000_i1362" type="#_x0000_t75" style="width:20.1pt;height:17.6pt" o:ole="">
            <v:imagedata r:id="rId10" o:title=""/>
          </v:shape>
          <w:control r:id="rId66" w:name="DefaultOcxName112" w:shapeid="_x0000_i1362"/>
        </w:object>
      </w:r>
      <w:r w:rsidRPr="00944CAE">
        <w:rPr>
          <w:rFonts w:ascii="Arial" w:eastAsia="Times New Roman" w:hAnsi="Arial" w:cs="Arial"/>
          <w:sz w:val="24"/>
          <w:szCs w:val="24"/>
          <w:lang w:eastAsia="en-GB"/>
        </w:rPr>
        <w:t>No, the cap should be lower than 10% </w:t>
      </w:r>
      <w:r w:rsidRPr="00944CAE">
        <w:rPr>
          <w:rFonts w:ascii="Arial" w:eastAsia="Times New Roman" w:hAnsi="Arial" w:cs="Arial"/>
          <w:sz w:val="24"/>
          <w:szCs w:val="24"/>
          <w:lang w:eastAsia="en-GB"/>
        </w:rPr>
        <w:br/>
      </w:r>
      <w:r w:rsidRPr="00944CAE">
        <w:rPr>
          <w:rFonts w:ascii="Arial" w:eastAsia="Times New Roman" w:hAnsi="Arial" w:cs="Arial"/>
          <w:sz w:val="24"/>
          <w:szCs w:val="24"/>
        </w:rPr>
        <w:object w:dxaOrig="1440" w:dyaOrig="1440" w14:anchorId="6BDD9D6C">
          <v:shape id="_x0000_i1365" type="#_x0000_t75" style="width:20.1pt;height:17.6pt" o:ole="">
            <v:imagedata r:id="rId10" o:title=""/>
          </v:shape>
          <w:control r:id="rId67" w:name="DefaultOcxName121" w:shapeid="_x0000_i1365"/>
        </w:object>
      </w:r>
      <w:r w:rsidRPr="00944CAE">
        <w:rPr>
          <w:rFonts w:ascii="Arial" w:eastAsia="Times New Roman" w:hAnsi="Arial" w:cs="Arial"/>
          <w:sz w:val="24"/>
          <w:szCs w:val="24"/>
          <w:lang w:eastAsia="en-GB"/>
        </w:rPr>
        <w:t>I'm unsure </w:t>
      </w:r>
      <w:r w:rsidRPr="00944CAE">
        <w:rPr>
          <w:rFonts w:ascii="Arial" w:eastAsia="Times New Roman" w:hAnsi="Arial" w:cs="Arial"/>
          <w:sz w:val="24"/>
          <w:szCs w:val="24"/>
          <w:lang w:eastAsia="en-GB"/>
        </w:rPr>
        <w:br/>
      </w:r>
    </w:p>
    <w:p w:rsidR="003B3C4F" w:rsidRPr="00944CAE" w:rsidRDefault="003B3C4F" w:rsidP="003B3C4F">
      <w:pPr>
        <w:spacing w:after="0" w:line="240" w:lineRule="auto"/>
        <w:rPr>
          <w:rFonts w:ascii="Arial" w:eastAsia="Times New Roman" w:hAnsi="Arial" w:cs="Arial"/>
          <w:b/>
          <w:lang w:eastAsia="en-GB"/>
        </w:rPr>
      </w:pPr>
      <w:r w:rsidRPr="00944CAE">
        <w:rPr>
          <w:rFonts w:ascii="Arial" w:eastAsia="Times New Roman" w:hAnsi="Arial" w:cs="Arial"/>
          <w:b/>
          <w:bCs/>
          <w:lang w:eastAsia="en-GB"/>
        </w:rPr>
        <w:t>23</w:t>
      </w:r>
      <w:r w:rsidR="0000694D" w:rsidRPr="00944CAE">
        <w:rPr>
          <w:rFonts w:ascii="Arial" w:eastAsia="Times New Roman" w:hAnsi="Arial" w:cs="Arial"/>
          <w:b/>
          <w:bCs/>
          <w:lang w:eastAsia="en-GB"/>
        </w:rPr>
        <w:t xml:space="preserve"> </w:t>
      </w:r>
      <w:r w:rsidRPr="00944CAE">
        <w:rPr>
          <w:rFonts w:ascii="Arial" w:eastAsia="Times New Roman" w:hAnsi="Arial" w:cs="Arial"/>
          <w:b/>
          <w:lang w:eastAsia="en-GB"/>
        </w:rPr>
        <w:t>Should the following supplements be permitted?</w:t>
      </w:r>
    </w:p>
    <w:tbl>
      <w:tblPr>
        <w:tblW w:w="9146" w:type="dxa"/>
        <w:tblCellMar>
          <w:top w:w="15" w:type="dxa"/>
          <w:left w:w="15" w:type="dxa"/>
          <w:bottom w:w="15" w:type="dxa"/>
          <w:right w:w="15" w:type="dxa"/>
        </w:tblCellMar>
        <w:tblLook w:val="04A0" w:firstRow="1" w:lastRow="0" w:firstColumn="1" w:lastColumn="0" w:noHBand="0" w:noVBand="1"/>
      </w:tblPr>
      <w:tblGrid>
        <w:gridCol w:w="1859"/>
        <w:gridCol w:w="2429"/>
        <w:gridCol w:w="2429"/>
        <w:gridCol w:w="2429"/>
      </w:tblGrid>
      <w:tr w:rsidR="003B3C4F" w:rsidRPr="00944CAE" w:rsidTr="00043B31">
        <w:trPr>
          <w:trHeight w:val="323"/>
          <w:tblHeader/>
        </w:trPr>
        <w:tc>
          <w:tcPr>
            <w:tcW w:w="1859" w:type="dxa"/>
            <w:shd w:val="clear" w:color="auto" w:fill="auto"/>
            <w:tcMar>
              <w:top w:w="168" w:type="dxa"/>
              <w:left w:w="240" w:type="dxa"/>
              <w:bottom w:w="192" w:type="dxa"/>
              <w:right w:w="0" w:type="dxa"/>
            </w:tcMar>
            <w:vAlign w:val="center"/>
            <w:hideMark/>
          </w:tcPr>
          <w:p w:rsidR="003B3C4F" w:rsidRPr="00944CAE" w:rsidRDefault="003B3C4F" w:rsidP="003B3C4F">
            <w:pPr>
              <w:spacing w:after="0" w:line="312" w:lineRule="atLeast"/>
              <w:rPr>
                <w:rFonts w:ascii="Arial" w:eastAsia="Times New Roman" w:hAnsi="Arial" w:cs="Arial"/>
                <w:color w:val="666666"/>
                <w:sz w:val="24"/>
                <w:szCs w:val="24"/>
                <w:lang w:eastAsia="en-GB"/>
              </w:rPr>
            </w:pPr>
          </w:p>
        </w:tc>
        <w:tc>
          <w:tcPr>
            <w:tcW w:w="2429" w:type="dxa"/>
            <w:shd w:val="clear" w:color="auto" w:fill="auto"/>
            <w:tcMar>
              <w:top w:w="168" w:type="dxa"/>
              <w:left w:w="120" w:type="dxa"/>
              <w:bottom w:w="192" w:type="dxa"/>
              <w:right w:w="120" w:type="dxa"/>
            </w:tcMar>
            <w:hideMark/>
          </w:tcPr>
          <w:p w:rsidR="003B3C4F" w:rsidRPr="00944CAE" w:rsidRDefault="003B3C4F" w:rsidP="003B3C4F">
            <w:pPr>
              <w:spacing w:after="0" w:line="312" w:lineRule="atLeast"/>
              <w:rPr>
                <w:rFonts w:ascii="Arial" w:eastAsia="Times New Roman" w:hAnsi="Arial" w:cs="Arial"/>
                <w:sz w:val="24"/>
                <w:szCs w:val="24"/>
                <w:lang w:eastAsia="en-GB"/>
              </w:rPr>
            </w:pPr>
            <w:r w:rsidRPr="00944CAE">
              <w:rPr>
                <w:rFonts w:ascii="Arial" w:eastAsia="Times New Roman" w:hAnsi="Arial" w:cs="Arial"/>
                <w:sz w:val="24"/>
                <w:szCs w:val="24"/>
                <w:lang w:eastAsia="en-GB"/>
              </w:rPr>
              <w:t>Yes</w:t>
            </w:r>
          </w:p>
        </w:tc>
        <w:tc>
          <w:tcPr>
            <w:tcW w:w="2429" w:type="dxa"/>
            <w:shd w:val="clear" w:color="auto" w:fill="auto"/>
            <w:tcMar>
              <w:top w:w="168" w:type="dxa"/>
              <w:left w:w="120" w:type="dxa"/>
              <w:bottom w:w="192" w:type="dxa"/>
              <w:right w:w="120" w:type="dxa"/>
            </w:tcMar>
            <w:hideMark/>
          </w:tcPr>
          <w:p w:rsidR="003B3C4F" w:rsidRPr="00944CAE" w:rsidRDefault="003B3C4F" w:rsidP="003B3C4F">
            <w:pPr>
              <w:spacing w:after="0" w:line="312" w:lineRule="atLeast"/>
              <w:rPr>
                <w:rFonts w:ascii="Arial" w:eastAsia="Times New Roman" w:hAnsi="Arial" w:cs="Arial"/>
                <w:sz w:val="24"/>
                <w:szCs w:val="24"/>
                <w:lang w:eastAsia="en-GB"/>
              </w:rPr>
            </w:pPr>
            <w:r w:rsidRPr="00944CAE">
              <w:rPr>
                <w:rFonts w:ascii="Arial" w:eastAsia="Times New Roman" w:hAnsi="Arial" w:cs="Arial"/>
                <w:sz w:val="24"/>
                <w:szCs w:val="24"/>
                <w:lang w:eastAsia="en-GB"/>
              </w:rPr>
              <w:t>No</w:t>
            </w:r>
          </w:p>
        </w:tc>
        <w:tc>
          <w:tcPr>
            <w:tcW w:w="2429" w:type="dxa"/>
            <w:shd w:val="clear" w:color="auto" w:fill="auto"/>
            <w:tcMar>
              <w:top w:w="168" w:type="dxa"/>
              <w:left w:w="120" w:type="dxa"/>
              <w:bottom w:w="192" w:type="dxa"/>
              <w:right w:w="120" w:type="dxa"/>
            </w:tcMar>
            <w:hideMark/>
          </w:tcPr>
          <w:p w:rsidR="003B3C4F" w:rsidRPr="00944CAE" w:rsidRDefault="003B3C4F" w:rsidP="003B3C4F">
            <w:pPr>
              <w:spacing w:after="0" w:line="312" w:lineRule="atLeast"/>
              <w:rPr>
                <w:rFonts w:ascii="Arial" w:eastAsia="Times New Roman" w:hAnsi="Arial" w:cs="Arial"/>
                <w:sz w:val="24"/>
                <w:szCs w:val="24"/>
                <w:lang w:eastAsia="en-GB"/>
              </w:rPr>
            </w:pPr>
            <w:r w:rsidRPr="00944CAE">
              <w:rPr>
                <w:rFonts w:ascii="Arial" w:eastAsia="Times New Roman" w:hAnsi="Arial" w:cs="Arial"/>
                <w:sz w:val="24"/>
                <w:szCs w:val="24"/>
                <w:lang w:eastAsia="en-GB"/>
              </w:rPr>
              <w:t>Unsure</w:t>
            </w:r>
          </w:p>
        </w:tc>
      </w:tr>
      <w:tr w:rsidR="003B3C4F" w:rsidRPr="00944CAE" w:rsidTr="00043B31">
        <w:trPr>
          <w:trHeight w:val="367"/>
        </w:trPr>
        <w:tc>
          <w:tcPr>
            <w:tcW w:w="1859" w:type="dxa"/>
            <w:tcBorders>
              <w:top w:val="single" w:sz="6" w:space="0" w:color="DDDDDD"/>
            </w:tcBorders>
            <w:shd w:val="clear" w:color="auto" w:fill="auto"/>
            <w:tcMar>
              <w:top w:w="168" w:type="dxa"/>
              <w:left w:w="240" w:type="dxa"/>
              <w:bottom w:w="192" w:type="dxa"/>
              <w:right w:w="0" w:type="dxa"/>
            </w:tcMar>
            <w:vAlign w:val="center"/>
            <w:hideMark/>
          </w:tcPr>
          <w:p w:rsidR="003B3C4F" w:rsidRPr="00944CAE" w:rsidRDefault="003B3C4F" w:rsidP="003B3C4F">
            <w:pPr>
              <w:spacing w:after="0" w:line="312" w:lineRule="atLeast"/>
              <w:rPr>
                <w:rFonts w:ascii="Arial" w:eastAsia="Times New Roman" w:hAnsi="Arial" w:cs="Arial"/>
                <w:color w:val="666666"/>
                <w:sz w:val="24"/>
                <w:szCs w:val="24"/>
                <w:lang w:eastAsia="en-GB"/>
              </w:rPr>
            </w:pPr>
            <w:r w:rsidRPr="00944CAE">
              <w:rPr>
                <w:rFonts w:ascii="Arial" w:eastAsia="Times New Roman" w:hAnsi="Arial" w:cs="Arial"/>
                <w:color w:val="666666"/>
                <w:sz w:val="24"/>
                <w:szCs w:val="24"/>
                <w:lang w:eastAsia="en-GB"/>
              </w:rPr>
              <w:t>Deprivation</w:t>
            </w:r>
          </w:p>
        </w:tc>
        <w:tc>
          <w:tcPr>
            <w:tcW w:w="0" w:type="auto"/>
            <w:tcBorders>
              <w:top w:val="single" w:sz="6" w:space="0" w:color="DDDDDD"/>
            </w:tcBorders>
            <w:shd w:val="clear" w:color="auto" w:fill="auto"/>
            <w:tcMar>
              <w:top w:w="168" w:type="dxa"/>
              <w:left w:w="120" w:type="dxa"/>
              <w:bottom w:w="192" w:type="dxa"/>
              <w:right w:w="120" w:type="dxa"/>
            </w:tcMar>
            <w:vAlign w:val="center"/>
            <w:hideMark/>
          </w:tcPr>
          <w:p w:rsidR="003B3C4F" w:rsidRPr="00944CAE" w:rsidRDefault="003B3C4F" w:rsidP="003B3C4F">
            <w:pPr>
              <w:spacing w:after="0" w:line="312" w:lineRule="atLeast"/>
              <w:rPr>
                <w:rFonts w:ascii="Arial" w:eastAsia="Times New Roman" w:hAnsi="Arial" w:cs="Arial"/>
                <w:sz w:val="24"/>
                <w:szCs w:val="24"/>
                <w:lang w:eastAsia="en-GB"/>
              </w:rPr>
            </w:pPr>
            <w:r w:rsidRPr="00944CAE">
              <w:rPr>
                <w:rFonts w:ascii="Arial" w:eastAsia="Times New Roman" w:hAnsi="Arial" w:cs="Arial"/>
                <w:sz w:val="24"/>
                <w:szCs w:val="24"/>
              </w:rPr>
              <w:object w:dxaOrig="1440" w:dyaOrig="1440" w14:anchorId="63B83DCD">
                <v:shape id="_x0000_i1368" type="#_x0000_t75" style="width:20.1pt;height:17.6pt" o:ole="">
                  <v:imagedata r:id="rId8" o:title=""/>
                </v:shape>
                <w:control r:id="rId68" w:name="DefaultOcxName131" w:shapeid="_x0000_i1368"/>
              </w:object>
            </w:r>
          </w:p>
        </w:tc>
        <w:tc>
          <w:tcPr>
            <w:tcW w:w="0" w:type="auto"/>
            <w:tcBorders>
              <w:top w:val="single" w:sz="6" w:space="0" w:color="DDDDDD"/>
            </w:tcBorders>
            <w:shd w:val="clear" w:color="auto" w:fill="auto"/>
            <w:tcMar>
              <w:top w:w="168" w:type="dxa"/>
              <w:left w:w="120" w:type="dxa"/>
              <w:bottom w:w="192" w:type="dxa"/>
              <w:right w:w="120" w:type="dxa"/>
            </w:tcMar>
            <w:vAlign w:val="center"/>
            <w:hideMark/>
          </w:tcPr>
          <w:p w:rsidR="003B3C4F" w:rsidRPr="00944CAE" w:rsidRDefault="003B3C4F" w:rsidP="003B3C4F">
            <w:pPr>
              <w:spacing w:after="0" w:line="312" w:lineRule="atLeast"/>
              <w:rPr>
                <w:rFonts w:ascii="Arial" w:eastAsia="Times New Roman" w:hAnsi="Arial" w:cs="Arial"/>
                <w:sz w:val="24"/>
                <w:szCs w:val="24"/>
                <w:lang w:eastAsia="en-GB"/>
              </w:rPr>
            </w:pPr>
            <w:r w:rsidRPr="00944CAE">
              <w:rPr>
                <w:rFonts w:ascii="Arial" w:eastAsia="Times New Roman" w:hAnsi="Arial" w:cs="Arial"/>
                <w:sz w:val="24"/>
                <w:szCs w:val="24"/>
              </w:rPr>
              <w:object w:dxaOrig="1440" w:dyaOrig="1440" w14:anchorId="14741EA1">
                <v:shape id="_x0000_i1371" type="#_x0000_t75" style="width:20.1pt;height:17.6pt" o:ole="">
                  <v:imagedata r:id="rId10" o:title=""/>
                </v:shape>
                <w:control r:id="rId69" w:name="DefaultOcxName141" w:shapeid="_x0000_i1371"/>
              </w:object>
            </w:r>
          </w:p>
        </w:tc>
        <w:tc>
          <w:tcPr>
            <w:tcW w:w="0" w:type="auto"/>
            <w:tcBorders>
              <w:top w:val="single" w:sz="6" w:space="0" w:color="DDDDDD"/>
            </w:tcBorders>
            <w:shd w:val="clear" w:color="auto" w:fill="auto"/>
            <w:tcMar>
              <w:top w:w="168" w:type="dxa"/>
              <w:left w:w="120" w:type="dxa"/>
              <w:bottom w:w="192" w:type="dxa"/>
              <w:right w:w="120" w:type="dxa"/>
            </w:tcMar>
            <w:vAlign w:val="center"/>
            <w:hideMark/>
          </w:tcPr>
          <w:p w:rsidR="003B3C4F" w:rsidRPr="00944CAE" w:rsidRDefault="003B3C4F" w:rsidP="003B3C4F">
            <w:pPr>
              <w:spacing w:after="0" w:line="312" w:lineRule="atLeast"/>
              <w:rPr>
                <w:rFonts w:ascii="Arial" w:eastAsia="Times New Roman" w:hAnsi="Arial" w:cs="Arial"/>
                <w:sz w:val="24"/>
                <w:szCs w:val="24"/>
                <w:lang w:eastAsia="en-GB"/>
              </w:rPr>
            </w:pPr>
            <w:r w:rsidRPr="00944CAE">
              <w:rPr>
                <w:rFonts w:ascii="Arial" w:eastAsia="Times New Roman" w:hAnsi="Arial" w:cs="Arial"/>
                <w:sz w:val="24"/>
                <w:szCs w:val="24"/>
              </w:rPr>
              <w:object w:dxaOrig="1440" w:dyaOrig="1440" w14:anchorId="3E1C22F5">
                <v:shape id="_x0000_i1374" type="#_x0000_t75" style="width:20.1pt;height:17.6pt" o:ole="">
                  <v:imagedata r:id="rId10" o:title=""/>
                </v:shape>
                <w:control r:id="rId70" w:name="DefaultOcxName151" w:shapeid="_x0000_i1374"/>
              </w:object>
            </w:r>
          </w:p>
        </w:tc>
      </w:tr>
      <w:tr w:rsidR="003B3C4F" w:rsidRPr="00944CAE" w:rsidTr="00043B31">
        <w:trPr>
          <w:trHeight w:val="367"/>
        </w:trPr>
        <w:tc>
          <w:tcPr>
            <w:tcW w:w="1859" w:type="dxa"/>
            <w:tcBorders>
              <w:top w:val="single" w:sz="6" w:space="0" w:color="DDDDDD"/>
            </w:tcBorders>
            <w:shd w:val="clear" w:color="auto" w:fill="auto"/>
            <w:tcMar>
              <w:top w:w="168" w:type="dxa"/>
              <w:left w:w="240" w:type="dxa"/>
              <w:bottom w:w="192" w:type="dxa"/>
              <w:right w:w="0" w:type="dxa"/>
            </w:tcMar>
            <w:vAlign w:val="center"/>
            <w:hideMark/>
          </w:tcPr>
          <w:p w:rsidR="003B3C4F" w:rsidRPr="00944CAE" w:rsidRDefault="003B3C4F" w:rsidP="003B3C4F">
            <w:pPr>
              <w:spacing w:after="0" w:line="312" w:lineRule="atLeast"/>
              <w:rPr>
                <w:rFonts w:ascii="Arial" w:eastAsia="Times New Roman" w:hAnsi="Arial" w:cs="Arial"/>
                <w:color w:val="666666"/>
                <w:sz w:val="24"/>
                <w:szCs w:val="24"/>
                <w:lang w:eastAsia="en-GB"/>
              </w:rPr>
            </w:pPr>
            <w:r w:rsidRPr="00944CAE">
              <w:rPr>
                <w:rFonts w:ascii="Arial" w:eastAsia="Times New Roman" w:hAnsi="Arial" w:cs="Arial"/>
                <w:color w:val="666666"/>
                <w:sz w:val="24"/>
                <w:szCs w:val="24"/>
                <w:lang w:eastAsia="en-GB"/>
              </w:rPr>
              <w:t>Sparsity / rural areas</w:t>
            </w:r>
          </w:p>
        </w:tc>
        <w:tc>
          <w:tcPr>
            <w:tcW w:w="0" w:type="auto"/>
            <w:tcBorders>
              <w:top w:val="single" w:sz="6" w:space="0" w:color="DDDDDD"/>
            </w:tcBorders>
            <w:shd w:val="clear" w:color="auto" w:fill="auto"/>
            <w:tcMar>
              <w:top w:w="168" w:type="dxa"/>
              <w:left w:w="120" w:type="dxa"/>
              <w:bottom w:w="192" w:type="dxa"/>
              <w:right w:w="120" w:type="dxa"/>
            </w:tcMar>
            <w:vAlign w:val="center"/>
            <w:hideMark/>
          </w:tcPr>
          <w:p w:rsidR="003B3C4F" w:rsidRPr="00944CAE" w:rsidRDefault="003B3C4F" w:rsidP="003B3C4F">
            <w:pPr>
              <w:spacing w:after="0" w:line="312" w:lineRule="atLeast"/>
              <w:rPr>
                <w:rFonts w:ascii="Arial" w:eastAsia="Times New Roman" w:hAnsi="Arial" w:cs="Arial"/>
                <w:sz w:val="24"/>
                <w:szCs w:val="24"/>
                <w:lang w:eastAsia="en-GB"/>
              </w:rPr>
            </w:pPr>
            <w:r w:rsidRPr="00944CAE">
              <w:rPr>
                <w:rFonts w:ascii="Arial" w:eastAsia="Times New Roman" w:hAnsi="Arial" w:cs="Arial"/>
                <w:sz w:val="24"/>
                <w:szCs w:val="24"/>
              </w:rPr>
              <w:object w:dxaOrig="1440" w:dyaOrig="1440" w14:anchorId="1504BBBF">
                <v:shape id="_x0000_i1377" type="#_x0000_t75" style="width:20.1pt;height:17.6pt" o:ole="">
                  <v:imagedata r:id="rId8" o:title=""/>
                </v:shape>
                <w:control r:id="rId71" w:name="DefaultOcxName161" w:shapeid="_x0000_i1377"/>
              </w:object>
            </w:r>
          </w:p>
        </w:tc>
        <w:tc>
          <w:tcPr>
            <w:tcW w:w="0" w:type="auto"/>
            <w:tcBorders>
              <w:top w:val="single" w:sz="6" w:space="0" w:color="DDDDDD"/>
            </w:tcBorders>
            <w:shd w:val="clear" w:color="auto" w:fill="auto"/>
            <w:tcMar>
              <w:top w:w="168" w:type="dxa"/>
              <w:left w:w="120" w:type="dxa"/>
              <w:bottom w:w="192" w:type="dxa"/>
              <w:right w:w="120" w:type="dxa"/>
            </w:tcMar>
            <w:vAlign w:val="center"/>
            <w:hideMark/>
          </w:tcPr>
          <w:p w:rsidR="003B3C4F" w:rsidRPr="00944CAE" w:rsidRDefault="003B3C4F" w:rsidP="003B3C4F">
            <w:pPr>
              <w:spacing w:after="0" w:line="312" w:lineRule="atLeast"/>
              <w:rPr>
                <w:rFonts w:ascii="Arial" w:eastAsia="Times New Roman" w:hAnsi="Arial" w:cs="Arial"/>
                <w:sz w:val="24"/>
                <w:szCs w:val="24"/>
                <w:lang w:eastAsia="en-GB"/>
              </w:rPr>
            </w:pPr>
            <w:r w:rsidRPr="00944CAE">
              <w:rPr>
                <w:rFonts w:ascii="Arial" w:eastAsia="Times New Roman" w:hAnsi="Arial" w:cs="Arial"/>
                <w:sz w:val="24"/>
                <w:szCs w:val="24"/>
              </w:rPr>
              <w:object w:dxaOrig="1440" w:dyaOrig="1440" w14:anchorId="14322D1B">
                <v:shape id="_x0000_i1380" type="#_x0000_t75" style="width:20.1pt;height:17.6pt" o:ole="">
                  <v:imagedata r:id="rId10" o:title=""/>
                </v:shape>
                <w:control r:id="rId72" w:name="DefaultOcxName171" w:shapeid="_x0000_i1380"/>
              </w:object>
            </w:r>
          </w:p>
        </w:tc>
        <w:tc>
          <w:tcPr>
            <w:tcW w:w="0" w:type="auto"/>
            <w:tcBorders>
              <w:top w:val="single" w:sz="6" w:space="0" w:color="DDDDDD"/>
            </w:tcBorders>
            <w:shd w:val="clear" w:color="auto" w:fill="auto"/>
            <w:tcMar>
              <w:top w:w="168" w:type="dxa"/>
              <w:left w:w="120" w:type="dxa"/>
              <w:bottom w:w="192" w:type="dxa"/>
              <w:right w:w="120" w:type="dxa"/>
            </w:tcMar>
            <w:vAlign w:val="center"/>
            <w:hideMark/>
          </w:tcPr>
          <w:p w:rsidR="003B3C4F" w:rsidRPr="00944CAE" w:rsidRDefault="003B3C4F" w:rsidP="003B3C4F">
            <w:pPr>
              <w:spacing w:after="0" w:line="312" w:lineRule="atLeast"/>
              <w:rPr>
                <w:rFonts w:ascii="Arial" w:eastAsia="Times New Roman" w:hAnsi="Arial" w:cs="Arial"/>
                <w:sz w:val="24"/>
                <w:szCs w:val="24"/>
                <w:lang w:eastAsia="en-GB"/>
              </w:rPr>
            </w:pPr>
            <w:r w:rsidRPr="00944CAE">
              <w:rPr>
                <w:rFonts w:ascii="Arial" w:eastAsia="Times New Roman" w:hAnsi="Arial" w:cs="Arial"/>
                <w:sz w:val="24"/>
                <w:szCs w:val="24"/>
              </w:rPr>
              <w:object w:dxaOrig="1440" w:dyaOrig="1440" w14:anchorId="59926DA3">
                <v:shape id="_x0000_i1383" type="#_x0000_t75" style="width:20.1pt;height:17.6pt" o:ole="">
                  <v:imagedata r:id="rId10" o:title=""/>
                </v:shape>
                <w:control r:id="rId73" w:name="DefaultOcxName181" w:shapeid="_x0000_i1383"/>
              </w:object>
            </w:r>
          </w:p>
        </w:tc>
      </w:tr>
      <w:tr w:rsidR="003B3C4F" w:rsidRPr="00944CAE" w:rsidTr="00043B31">
        <w:trPr>
          <w:trHeight w:val="367"/>
        </w:trPr>
        <w:tc>
          <w:tcPr>
            <w:tcW w:w="1859" w:type="dxa"/>
            <w:tcBorders>
              <w:top w:val="single" w:sz="6" w:space="0" w:color="DDDDDD"/>
            </w:tcBorders>
            <w:shd w:val="clear" w:color="auto" w:fill="auto"/>
            <w:tcMar>
              <w:top w:w="168" w:type="dxa"/>
              <w:left w:w="240" w:type="dxa"/>
              <w:bottom w:w="192" w:type="dxa"/>
              <w:right w:w="0" w:type="dxa"/>
            </w:tcMar>
            <w:vAlign w:val="center"/>
            <w:hideMark/>
          </w:tcPr>
          <w:p w:rsidR="003B3C4F" w:rsidRPr="00944CAE" w:rsidRDefault="003B3C4F" w:rsidP="003B3C4F">
            <w:pPr>
              <w:spacing w:after="0" w:line="312" w:lineRule="atLeast"/>
              <w:rPr>
                <w:rFonts w:ascii="Arial" w:eastAsia="Times New Roman" w:hAnsi="Arial" w:cs="Arial"/>
                <w:color w:val="666666"/>
                <w:sz w:val="24"/>
                <w:szCs w:val="24"/>
                <w:lang w:eastAsia="en-GB"/>
              </w:rPr>
            </w:pPr>
            <w:r w:rsidRPr="00944CAE">
              <w:rPr>
                <w:rFonts w:ascii="Arial" w:eastAsia="Times New Roman" w:hAnsi="Arial" w:cs="Arial"/>
                <w:color w:val="666666"/>
                <w:sz w:val="24"/>
                <w:szCs w:val="24"/>
                <w:lang w:eastAsia="en-GB"/>
              </w:rPr>
              <w:t>Flexibility</w:t>
            </w:r>
          </w:p>
        </w:tc>
        <w:tc>
          <w:tcPr>
            <w:tcW w:w="0" w:type="auto"/>
            <w:tcBorders>
              <w:top w:val="single" w:sz="6" w:space="0" w:color="DDDDDD"/>
            </w:tcBorders>
            <w:shd w:val="clear" w:color="auto" w:fill="auto"/>
            <w:tcMar>
              <w:top w:w="168" w:type="dxa"/>
              <w:left w:w="120" w:type="dxa"/>
              <w:bottom w:w="192" w:type="dxa"/>
              <w:right w:w="120" w:type="dxa"/>
            </w:tcMar>
            <w:vAlign w:val="center"/>
            <w:hideMark/>
          </w:tcPr>
          <w:p w:rsidR="003B3C4F" w:rsidRPr="00944CAE" w:rsidRDefault="003B3C4F" w:rsidP="003B3C4F">
            <w:pPr>
              <w:spacing w:after="0" w:line="312" w:lineRule="atLeast"/>
              <w:rPr>
                <w:rFonts w:ascii="Arial" w:eastAsia="Times New Roman" w:hAnsi="Arial" w:cs="Arial"/>
                <w:sz w:val="24"/>
                <w:szCs w:val="24"/>
                <w:lang w:eastAsia="en-GB"/>
              </w:rPr>
            </w:pPr>
            <w:r w:rsidRPr="00944CAE">
              <w:rPr>
                <w:rFonts w:ascii="Arial" w:eastAsia="Times New Roman" w:hAnsi="Arial" w:cs="Arial"/>
                <w:sz w:val="24"/>
                <w:szCs w:val="24"/>
              </w:rPr>
              <w:object w:dxaOrig="1440" w:dyaOrig="1440" w14:anchorId="3DA315A5">
                <v:shape id="_x0000_i1386" type="#_x0000_t75" style="width:20.1pt;height:17.6pt" o:ole="">
                  <v:imagedata r:id="rId8" o:title=""/>
                </v:shape>
                <w:control r:id="rId74" w:name="DefaultOcxName191" w:shapeid="_x0000_i1386"/>
              </w:object>
            </w:r>
          </w:p>
        </w:tc>
        <w:tc>
          <w:tcPr>
            <w:tcW w:w="0" w:type="auto"/>
            <w:tcBorders>
              <w:top w:val="single" w:sz="6" w:space="0" w:color="DDDDDD"/>
            </w:tcBorders>
            <w:shd w:val="clear" w:color="auto" w:fill="auto"/>
            <w:tcMar>
              <w:top w:w="168" w:type="dxa"/>
              <w:left w:w="120" w:type="dxa"/>
              <w:bottom w:w="192" w:type="dxa"/>
              <w:right w:w="120" w:type="dxa"/>
            </w:tcMar>
            <w:vAlign w:val="center"/>
            <w:hideMark/>
          </w:tcPr>
          <w:p w:rsidR="003B3C4F" w:rsidRPr="00944CAE" w:rsidRDefault="003B3C4F" w:rsidP="003B3C4F">
            <w:pPr>
              <w:spacing w:after="0" w:line="312" w:lineRule="atLeast"/>
              <w:rPr>
                <w:rFonts w:ascii="Arial" w:eastAsia="Times New Roman" w:hAnsi="Arial" w:cs="Arial"/>
                <w:sz w:val="24"/>
                <w:szCs w:val="24"/>
                <w:lang w:eastAsia="en-GB"/>
              </w:rPr>
            </w:pPr>
            <w:r w:rsidRPr="00944CAE">
              <w:rPr>
                <w:rFonts w:ascii="Arial" w:eastAsia="Times New Roman" w:hAnsi="Arial" w:cs="Arial"/>
                <w:sz w:val="24"/>
                <w:szCs w:val="24"/>
              </w:rPr>
              <w:object w:dxaOrig="1440" w:dyaOrig="1440" w14:anchorId="7D224889">
                <v:shape id="_x0000_i1389" type="#_x0000_t75" style="width:20.1pt;height:17.6pt" o:ole="">
                  <v:imagedata r:id="rId10" o:title=""/>
                </v:shape>
                <w:control r:id="rId75" w:name="DefaultOcxName201" w:shapeid="_x0000_i1389"/>
              </w:object>
            </w:r>
          </w:p>
        </w:tc>
        <w:tc>
          <w:tcPr>
            <w:tcW w:w="0" w:type="auto"/>
            <w:tcBorders>
              <w:top w:val="single" w:sz="6" w:space="0" w:color="DDDDDD"/>
            </w:tcBorders>
            <w:shd w:val="clear" w:color="auto" w:fill="auto"/>
            <w:tcMar>
              <w:top w:w="168" w:type="dxa"/>
              <w:left w:w="120" w:type="dxa"/>
              <w:bottom w:w="192" w:type="dxa"/>
              <w:right w:w="120" w:type="dxa"/>
            </w:tcMar>
            <w:vAlign w:val="center"/>
            <w:hideMark/>
          </w:tcPr>
          <w:p w:rsidR="003B3C4F" w:rsidRPr="00944CAE" w:rsidRDefault="003B3C4F" w:rsidP="003B3C4F">
            <w:pPr>
              <w:spacing w:after="0" w:line="312" w:lineRule="atLeast"/>
              <w:rPr>
                <w:rFonts w:ascii="Arial" w:eastAsia="Times New Roman" w:hAnsi="Arial" w:cs="Arial"/>
                <w:sz w:val="24"/>
                <w:szCs w:val="24"/>
                <w:lang w:eastAsia="en-GB"/>
              </w:rPr>
            </w:pPr>
            <w:r w:rsidRPr="00944CAE">
              <w:rPr>
                <w:rFonts w:ascii="Arial" w:eastAsia="Times New Roman" w:hAnsi="Arial" w:cs="Arial"/>
                <w:sz w:val="24"/>
                <w:szCs w:val="24"/>
              </w:rPr>
              <w:object w:dxaOrig="1440" w:dyaOrig="1440" w14:anchorId="58B78555">
                <v:shape id="_x0000_i1392" type="#_x0000_t75" style="width:20.1pt;height:17.6pt" o:ole="">
                  <v:imagedata r:id="rId10" o:title=""/>
                </v:shape>
                <w:control r:id="rId76" w:name="DefaultOcxName212" w:shapeid="_x0000_i1392"/>
              </w:object>
            </w:r>
          </w:p>
        </w:tc>
      </w:tr>
      <w:tr w:rsidR="003B3C4F" w:rsidRPr="00944CAE" w:rsidTr="00043B31">
        <w:trPr>
          <w:trHeight w:val="367"/>
        </w:trPr>
        <w:tc>
          <w:tcPr>
            <w:tcW w:w="1859" w:type="dxa"/>
            <w:tcBorders>
              <w:top w:val="single" w:sz="6" w:space="0" w:color="DDDDDD"/>
            </w:tcBorders>
            <w:shd w:val="clear" w:color="auto" w:fill="auto"/>
            <w:tcMar>
              <w:top w:w="168" w:type="dxa"/>
              <w:left w:w="240" w:type="dxa"/>
              <w:bottom w:w="192" w:type="dxa"/>
              <w:right w:w="0" w:type="dxa"/>
            </w:tcMar>
            <w:vAlign w:val="center"/>
            <w:hideMark/>
          </w:tcPr>
          <w:p w:rsidR="003B3C4F" w:rsidRPr="00944CAE" w:rsidRDefault="003B3C4F" w:rsidP="003B3C4F">
            <w:pPr>
              <w:spacing w:after="0" w:line="312" w:lineRule="atLeast"/>
              <w:rPr>
                <w:rFonts w:ascii="Arial" w:eastAsia="Times New Roman" w:hAnsi="Arial" w:cs="Arial"/>
                <w:color w:val="666666"/>
                <w:sz w:val="24"/>
                <w:szCs w:val="24"/>
                <w:lang w:eastAsia="en-GB"/>
              </w:rPr>
            </w:pPr>
            <w:r w:rsidRPr="00944CAE">
              <w:rPr>
                <w:rFonts w:ascii="Arial" w:eastAsia="Times New Roman" w:hAnsi="Arial" w:cs="Arial"/>
                <w:color w:val="666666"/>
                <w:sz w:val="24"/>
                <w:szCs w:val="24"/>
                <w:lang w:eastAsia="en-GB"/>
              </w:rPr>
              <w:t>Efficiency</w:t>
            </w:r>
          </w:p>
        </w:tc>
        <w:tc>
          <w:tcPr>
            <w:tcW w:w="0" w:type="auto"/>
            <w:tcBorders>
              <w:top w:val="single" w:sz="6" w:space="0" w:color="DDDDDD"/>
            </w:tcBorders>
            <w:shd w:val="clear" w:color="auto" w:fill="auto"/>
            <w:tcMar>
              <w:top w:w="168" w:type="dxa"/>
              <w:left w:w="120" w:type="dxa"/>
              <w:bottom w:w="192" w:type="dxa"/>
              <w:right w:w="120" w:type="dxa"/>
            </w:tcMar>
            <w:vAlign w:val="center"/>
            <w:hideMark/>
          </w:tcPr>
          <w:p w:rsidR="003B3C4F" w:rsidRPr="00944CAE" w:rsidRDefault="003B3C4F" w:rsidP="003B3C4F">
            <w:pPr>
              <w:spacing w:after="0" w:line="312" w:lineRule="atLeast"/>
              <w:rPr>
                <w:rFonts w:ascii="Arial" w:eastAsia="Times New Roman" w:hAnsi="Arial" w:cs="Arial"/>
                <w:sz w:val="24"/>
                <w:szCs w:val="24"/>
                <w:lang w:eastAsia="en-GB"/>
              </w:rPr>
            </w:pPr>
            <w:r w:rsidRPr="00944CAE">
              <w:rPr>
                <w:rFonts w:ascii="Arial" w:eastAsia="Times New Roman" w:hAnsi="Arial" w:cs="Arial"/>
                <w:sz w:val="24"/>
                <w:szCs w:val="24"/>
              </w:rPr>
              <w:object w:dxaOrig="1440" w:dyaOrig="1440" w14:anchorId="690097C2">
                <v:shape id="_x0000_i1395" type="#_x0000_t75" style="width:20.1pt;height:17.6pt" o:ole="">
                  <v:imagedata r:id="rId10" o:title=""/>
                </v:shape>
                <w:control r:id="rId77" w:name="DefaultOcxName221" w:shapeid="_x0000_i1395"/>
              </w:object>
            </w:r>
          </w:p>
        </w:tc>
        <w:tc>
          <w:tcPr>
            <w:tcW w:w="0" w:type="auto"/>
            <w:tcBorders>
              <w:top w:val="single" w:sz="6" w:space="0" w:color="DDDDDD"/>
            </w:tcBorders>
            <w:shd w:val="clear" w:color="auto" w:fill="auto"/>
            <w:tcMar>
              <w:top w:w="168" w:type="dxa"/>
              <w:left w:w="120" w:type="dxa"/>
              <w:bottom w:w="192" w:type="dxa"/>
              <w:right w:w="120" w:type="dxa"/>
            </w:tcMar>
            <w:vAlign w:val="center"/>
            <w:hideMark/>
          </w:tcPr>
          <w:p w:rsidR="003B3C4F" w:rsidRPr="00944CAE" w:rsidRDefault="003B3C4F" w:rsidP="003B3C4F">
            <w:pPr>
              <w:spacing w:after="0" w:line="312" w:lineRule="atLeast"/>
              <w:rPr>
                <w:rFonts w:ascii="Arial" w:eastAsia="Times New Roman" w:hAnsi="Arial" w:cs="Arial"/>
                <w:sz w:val="24"/>
                <w:szCs w:val="24"/>
                <w:lang w:eastAsia="en-GB"/>
              </w:rPr>
            </w:pPr>
            <w:r w:rsidRPr="00944CAE">
              <w:rPr>
                <w:rFonts w:ascii="Arial" w:eastAsia="Times New Roman" w:hAnsi="Arial" w:cs="Arial"/>
                <w:sz w:val="24"/>
                <w:szCs w:val="24"/>
              </w:rPr>
              <w:object w:dxaOrig="1440" w:dyaOrig="1440" w14:anchorId="27BEC34C">
                <v:shape id="_x0000_i1398" type="#_x0000_t75" style="width:20.1pt;height:17.6pt" o:ole="">
                  <v:imagedata r:id="rId10" o:title=""/>
                </v:shape>
                <w:control r:id="rId78" w:name="DefaultOcxName231" w:shapeid="_x0000_i1398"/>
              </w:object>
            </w:r>
          </w:p>
        </w:tc>
        <w:tc>
          <w:tcPr>
            <w:tcW w:w="0" w:type="auto"/>
            <w:tcBorders>
              <w:top w:val="single" w:sz="6" w:space="0" w:color="DDDDDD"/>
            </w:tcBorders>
            <w:shd w:val="clear" w:color="auto" w:fill="auto"/>
            <w:tcMar>
              <w:top w:w="168" w:type="dxa"/>
              <w:left w:w="120" w:type="dxa"/>
              <w:bottom w:w="192" w:type="dxa"/>
              <w:right w:w="120" w:type="dxa"/>
            </w:tcMar>
            <w:vAlign w:val="center"/>
            <w:hideMark/>
          </w:tcPr>
          <w:p w:rsidR="003B3C4F" w:rsidRPr="00944CAE" w:rsidRDefault="003B3C4F" w:rsidP="003B3C4F">
            <w:pPr>
              <w:spacing w:after="0" w:line="312" w:lineRule="atLeast"/>
              <w:rPr>
                <w:rFonts w:ascii="Arial" w:eastAsia="Times New Roman" w:hAnsi="Arial" w:cs="Arial"/>
                <w:sz w:val="24"/>
                <w:szCs w:val="24"/>
                <w:lang w:eastAsia="en-GB"/>
              </w:rPr>
            </w:pPr>
            <w:r w:rsidRPr="00944CAE">
              <w:rPr>
                <w:rFonts w:ascii="Arial" w:eastAsia="Times New Roman" w:hAnsi="Arial" w:cs="Arial"/>
                <w:sz w:val="24"/>
                <w:szCs w:val="24"/>
              </w:rPr>
              <w:object w:dxaOrig="1440" w:dyaOrig="1440" w14:anchorId="532971B7">
                <v:shape id="_x0000_i1401" type="#_x0000_t75" style="width:20.1pt;height:17.6pt" o:ole="">
                  <v:imagedata r:id="rId8" o:title=""/>
                </v:shape>
                <w:control r:id="rId79" w:name="DefaultOcxName241" w:shapeid="_x0000_i1401"/>
              </w:object>
            </w:r>
          </w:p>
        </w:tc>
      </w:tr>
      <w:tr w:rsidR="003B3C4F" w:rsidRPr="00944CAE" w:rsidTr="00043B31">
        <w:trPr>
          <w:trHeight w:val="616"/>
        </w:trPr>
        <w:tc>
          <w:tcPr>
            <w:tcW w:w="1859" w:type="dxa"/>
            <w:tcBorders>
              <w:top w:val="single" w:sz="6" w:space="0" w:color="DDDDDD"/>
            </w:tcBorders>
            <w:shd w:val="clear" w:color="auto" w:fill="auto"/>
            <w:tcMar>
              <w:top w:w="168" w:type="dxa"/>
              <w:left w:w="240" w:type="dxa"/>
              <w:bottom w:w="192" w:type="dxa"/>
              <w:right w:w="0" w:type="dxa"/>
            </w:tcMar>
            <w:vAlign w:val="center"/>
            <w:hideMark/>
          </w:tcPr>
          <w:p w:rsidR="003B3C4F" w:rsidRPr="00944CAE" w:rsidRDefault="003B3C4F" w:rsidP="003B3C4F">
            <w:pPr>
              <w:spacing w:after="0" w:line="312" w:lineRule="atLeast"/>
              <w:rPr>
                <w:rFonts w:ascii="Arial" w:eastAsia="Times New Roman" w:hAnsi="Arial" w:cs="Arial"/>
                <w:color w:val="666666"/>
                <w:sz w:val="24"/>
                <w:szCs w:val="24"/>
                <w:lang w:eastAsia="en-GB"/>
              </w:rPr>
            </w:pPr>
            <w:r w:rsidRPr="00944CAE">
              <w:rPr>
                <w:rFonts w:ascii="Arial" w:eastAsia="Times New Roman" w:hAnsi="Arial" w:cs="Arial"/>
                <w:color w:val="666666"/>
                <w:sz w:val="24"/>
                <w:szCs w:val="24"/>
                <w:lang w:eastAsia="en-GB"/>
              </w:rPr>
              <w:t>Additional 15 hours of childcare</w:t>
            </w:r>
          </w:p>
        </w:tc>
        <w:tc>
          <w:tcPr>
            <w:tcW w:w="0" w:type="auto"/>
            <w:tcBorders>
              <w:top w:val="single" w:sz="6" w:space="0" w:color="DDDDDD"/>
            </w:tcBorders>
            <w:shd w:val="clear" w:color="auto" w:fill="auto"/>
            <w:tcMar>
              <w:top w:w="168" w:type="dxa"/>
              <w:left w:w="120" w:type="dxa"/>
              <w:bottom w:w="192" w:type="dxa"/>
              <w:right w:w="120" w:type="dxa"/>
            </w:tcMar>
            <w:vAlign w:val="center"/>
            <w:hideMark/>
          </w:tcPr>
          <w:p w:rsidR="003B3C4F" w:rsidRPr="00944CAE" w:rsidRDefault="003B3C4F" w:rsidP="003B3C4F">
            <w:pPr>
              <w:spacing w:after="0" w:line="312" w:lineRule="atLeast"/>
              <w:rPr>
                <w:rFonts w:ascii="Arial" w:eastAsia="Times New Roman" w:hAnsi="Arial" w:cs="Arial"/>
                <w:sz w:val="24"/>
                <w:szCs w:val="24"/>
                <w:lang w:eastAsia="en-GB"/>
              </w:rPr>
            </w:pPr>
            <w:r w:rsidRPr="00944CAE">
              <w:rPr>
                <w:rFonts w:ascii="Arial" w:eastAsia="Times New Roman" w:hAnsi="Arial" w:cs="Arial"/>
                <w:sz w:val="24"/>
                <w:szCs w:val="24"/>
              </w:rPr>
              <w:object w:dxaOrig="1440" w:dyaOrig="1440" w14:anchorId="49FDC5CD">
                <v:shape id="_x0000_i1404" type="#_x0000_t75" style="width:20.1pt;height:17.6pt" o:ole="">
                  <v:imagedata r:id="rId10" o:title=""/>
                </v:shape>
                <w:control r:id="rId80" w:name="DefaultOcxName251" w:shapeid="_x0000_i1404"/>
              </w:object>
            </w:r>
          </w:p>
        </w:tc>
        <w:tc>
          <w:tcPr>
            <w:tcW w:w="0" w:type="auto"/>
            <w:tcBorders>
              <w:top w:val="single" w:sz="6" w:space="0" w:color="DDDDDD"/>
            </w:tcBorders>
            <w:shd w:val="clear" w:color="auto" w:fill="auto"/>
            <w:tcMar>
              <w:top w:w="168" w:type="dxa"/>
              <w:left w:w="120" w:type="dxa"/>
              <w:bottom w:w="192" w:type="dxa"/>
              <w:right w:w="120" w:type="dxa"/>
            </w:tcMar>
            <w:vAlign w:val="center"/>
            <w:hideMark/>
          </w:tcPr>
          <w:p w:rsidR="003B3C4F" w:rsidRPr="00944CAE" w:rsidRDefault="003B3C4F" w:rsidP="003B3C4F">
            <w:pPr>
              <w:spacing w:after="0" w:line="312" w:lineRule="atLeast"/>
              <w:rPr>
                <w:rFonts w:ascii="Arial" w:eastAsia="Times New Roman" w:hAnsi="Arial" w:cs="Arial"/>
                <w:sz w:val="24"/>
                <w:szCs w:val="24"/>
                <w:lang w:eastAsia="en-GB"/>
              </w:rPr>
            </w:pPr>
            <w:r w:rsidRPr="00944CAE">
              <w:rPr>
                <w:rFonts w:ascii="Arial" w:eastAsia="Times New Roman" w:hAnsi="Arial" w:cs="Arial"/>
                <w:sz w:val="24"/>
                <w:szCs w:val="24"/>
              </w:rPr>
              <w:object w:dxaOrig="1440" w:dyaOrig="1440" w14:anchorId="3F33314D">
                <v:shape id="_x0000_i1407" type="#_x0000_t75" style="width:20.1pt;height:17.6pt" o:ole="">
                  <v:imagedata r:id="rId10" o:title=""/>
                </v:shape>
                <w:control r:id="rId81" w:name="DefaultOcxName261" w:shapeid="_x0000_i1407"/>
              </w:object>
            </w:r>
          </w:p>
        </w:tc>
        <w:tc>
          <w:tcPr>
            <w:tcW w:w="0" w:type="auto"/>
            <w:tcBorders>
              <w:top w:val="single" w:sz="6" w:space="0" w:color="DDDDDD"/>
            </w:tcBorders>
            <w:shd w:val="clear" w:color="auto" w:fill="auto"/>
            <w:tcMar>
              <w:top w:w="168" w:type="dxa"/>
              <w:left w:w="120" w:type="dxa"/>
              <w:bottom w:w="192" w:type="dxa"/>
              <w:right w:w="120" w:type="dxa"/>
            </w:tcMar>
            <w:vAlign w:val="center"/>
            <w:hideMark/>
          </w:tcPr>
          <w:p w:rsidR="003B3C4F" w:rsidRPr="00944CAE" w:rsidRDefault="003B3C4F" w:rsidP="003B3C4F">
            <w:pPr>
              <w:spacing w:after="0" w:line="312" w:lineRule="atLeast"/>
              <w:rPr>
                <w:rFonts w:ascii="Arial" w:eastAsia="Times New Roman" w:hAnsi="Arial" w:cs="Arial"/>
                <w:sz w:val="24"/>
                <w:szCs w:val="24"/>
                <w:lang w:eastAsia="en-GB"/>
              </w:rPr>
            </w:pPr>
            <w:r w:rsidRPr="00944CAE">
              <w:rPr>
                <w:rFonts w:ascii="Arial" w:eastAsia="Times New Roman" w:hAnsi="Arial" w:cs="Arial"/>
                <w:sz w:val="24"/>
                <w:szCs w:val="24"/>
              </w:rPr>
              <w:object w:dxaOrig="1440" w:dyaOrig="1440" w14:anchorId="5CE7A1B9">
                <v:shape id="_x0000_i1410" type="#_x0000_t75" style="width:20.1pt;height:17.6pt" o:ole="">
                  <v:imagedata r:id="rId8" o:title=""/>
                </v:shape>
                <w:control r:id="rId82" w:name="DefaultOcxName271" w:shapeid="_x0000_i1410"/>
              </w:object>
            </w:r>
          </w:p>
        </w:tc>
      </w:tr>
    </w:tbl>
    <w:p w:rsidR="003B3C4F" w:rsidRPr="00944CAE" w:rsidRDefault="003B3C4F" w:rsidP="003B3C4F">
      <w:pPr>
        <w:spacing w:after="0" w:line="240" w:lineRule="auto"/>
        <w:rPr>
          <w:rFonts w:ascii="Arial" w:eastAsia="Times New Roman" w:hAnsi="Arial" w:cs="Arial"/>
          <w:b/>
          <w:lang w:eastAsia="en-GB"/>
        </w:rPr>
      </w:pPr>
      <w:r w:rsidRPr="00944CAE">
        <w:rPr>
          <w:rFonts w:ascii="Arial" w:eastAsia="Times New Roman" w:hAnsi="Arial" w:cs="Arial"/>
          <w:b/>
          <w:bCs/>
          <w:lang w:eastAsia="en-GB"/>
        </w:rPr>
        <w:lastRenderedPageBreak/>
        <w:t>24</w:t>
      </w:r>
      <w:r w:rsidR="0000694D" w:rsidRPr="00944CAE">
        <w:rPr>
          <w:rFonts w:ascii="Arial" w:eastAsia="Times New Roman" w:hAnsi="Arial" w:cs="Arial"/>
          <w:b/>
          <w:bCs/>
          <w:lang w:eastAsia="en-GB"/>
        </w:rPr>
        <w:t xml:space="preserve"> </w:t>
      </w:r>
      <w:r w:rsidRPr="00944CAE">
        <w:rPr>
          <w:rFonts w:ascii="Arial" w:eastAsia="Times New Roman" w:hAnsi="Arial" w:cs="Arial"/>
          <w:b/>
          <w:lang w:eastAsia="en-GB"/>
        </w:rPr>
        <w:t xml:space="preserve">When using funding supplements, should local authorities have discretion over the metrics they use and the amount of money </w:t>
      </w:r>
      <w:r w:rsidR="0084415D" w:rsidRPr="00944CAE">
        <w:rPr>
          <w:rFonts w:ascii="Arial" w:eastAsia="Times New Roman" w:hAnsi="Arial" w:cs="Arial"/>
          <w:b/>
          <w:lang w:eastAsia="en-GB"/>
        </w:rPr>
        <w:t>channelled</w:t>
      </w:r>
      <w:r w:rsidRPr="00944CAE">
        <w:rPr>
          <w:rFonts w:ascii="Arial" w:eastAsia="Times New Roman" w:hAnsi="Arial" w:cs="Arial"/>
          <w:b/>
          <w:lang w:eastAsia="en-GB"/>
        </w:rPr>
        <w:t xml:space="preserve"> through each one?</w:t>
      </w:r>
    </w:p>
    <w:tbl>
      <w:tblPr>
        <w:tblW w:w="9177" w:type="dxa"/>
        <w:tblCellMar>
          <w:top w:w="15" w:type="dxa"/>
          <w:left w:w="15" w:type="dxa"/>
          <w:bottom w:w="15" w:type="dxa"/>
          <w:right w:w="15" w:type="dxa"/>
        </w:tblCellMar>
        <w:tblLook w:val="04A0" w:firstRow="1" w:lastRow="0" w:firstColumn="1" w:lastColumn="0" w:noHBand="0" w:noVBand="1"/>
      </w:tblPr>
      <w:tblGrid>
        <w:gridCol w:w="1708"/>
        <w:gridCol w:w="1125"/>
        <w:gridCol w:w="1600"/>
        <w:gridCol w:w="1186"/>
        <w:gridCol w:w="1186"/>
        <w:gridCol w:w="1186"/>
        <w:gridCol w:w="1186"/>
      </w:tblGrid>
      <w:tr w:rsidR="003B3C4F" w:rsidRPr="00944CAE" w:rsidTr="00043B31">
        <w:trPr>
          <w:trHeight w:val="1270"/>
          <w:tblHeader/>
        </w:trPr>
        <w:tc>
          <w:tcPr>
            <w:tcW w:w="1708" w:type="dxa"/>
            <w:shd w:val="clear" w:color="auto" w:fill="auto"/>
            <w:tcMar>
              <w:top w:w="168" w:type="dxa"/>
              <w:left w:w="240" w:type="dxa"/>
              <w:bottom w:w="192" w:type="dxa"/>
              <w:right w:w="0" w:type="dxa"/>
            </w:tcMar>
            <w:vAlign w:val="center"/>
            <w:hideMark/>
          </w:tcPr>
          <w:p w:rsidR="003B3C4F" w:rsidRPr="00944CAE" w:rsidRDefault="003B3C4F" w:rsidP="003B3C4F">
            <w:pPr>
              <w:spacing w:after="0" w:line="312" w:lineRule="atLeast"/>
              <w:rPr>
                <w:rFonts w:ascii="Arial" w:eastAsia="Times New Roman" w:hAnsi="Arial" w:cs="Arial"/>
                <w:color w:val="666666"/>
                <w:sz w:val="24"/>
                <w:szCs w:val="24"/>
                <w:lang w:eastAsia="en-GB"/>
              </w:rPr>
            </w:pPr>
          </w:p>
        </w:tc>
        <w:tc>
          <w:tcPr>
            <w:tcW w:w="1125" w:type="dxa"/>
            <w:shd w:val="clear" w:color="auto" w:fill="auto"/>
            <w:tcMar>
              <w:top w:w="168" w:type="dxa"/>
              <w:left w:w="120" w:type="dxa"/>
              <w:bottom w:w="192" w:type="dxa"/>
              <w:right w:w="120" w:type="dxa"/>
            </w:tcMar>
            <w:hideMark/>
          </w:tcPr>
          <w:p w:rsidR="003B3C4F" w:rsidRPr="00944CAE" w:rsidRDefault="003B3C4F" w:rsidP="003B3C4F">
            <w:pPr>
              <w:spacing w:after="0" w:line="312" w:lineRule="atLeast"/>
              <w:jc w:val="center"/>
              <w:rPr>
                <w:rFonts w:ascii="Arial" w:eastAsia="Times New Roman" w:hAnsi="Arial" w:cs="Arial"/>
                <w:sz w:val="24"/>
                <w:szCs w:val="24"/>
                <w:lang w:eastAsia="en-GB"/>
              </w:rPr>
            </w:pPr>
            <w:r w:rsidRPr="00944CAE">
              <w:rPr>
                <w:rFonts w:ascii="Arial" w:eastAsia="Times New Roman" w:hAnsi="Arial" w:cs="Arial"/>
                <w:sz w:val="24"/>
                <w:szCs w:val="24"/>
                <w:lang w:eastAsia="en-GB"/>
              </w:rPr>
              <w:t>Yes - over the metric they use</w:t>
            </w:r>
          </w:p>
        </w:tc>
        <w:tc>
          <w:tcPr>
            <w:tcW w:w="1600" w:type="dxa"/>
            <w:shd w:val="clear" w:color="auto" w:fill="auto"/>
            <w:tcMar>
              <w:top w:w="168" w:type="dxa"/>
              <w:left w:w="120" w:type="dxa"/>
              <w:bottom w:w="192" w:type="dxa"/>
              <w:right w:w="120" w:type="dxa"/>
            </w:tcMar>
            <w:hideMark/>
          </w:tcPr>
          <w:p w:rsidR="003B3C4F" w:rsidRPr="00944CAE" w:rsidRDefault="003B3C4F" w:rsidP="003B3C4F">
            <w:pPr>
              <w:spacing w:after="0" w:line="312" w:lineRule="atLeast"/>
              <w:jc w:val="center"/>
              <w:rPr>
                <w:rFonts w:ascii="Arial" w:eastAsia="Times New Roman" w:hAnsi="Arial" w:cs="Arial"/>
                <w:sz w:val="24"/>
                <w:szCs w:val="24"/>
                <w:lang w:eastAsia="en-GB"/>
              </w:rPr>
            </w:pPr>
            <w:r w:rsidRPr="00944CAE">
              <w:rPr>
                <w:rFonts w:ascii="Arial" w:eastAsia="Times New Roman" w:hAnsi="Arial" w:cs="Arial"/>
                <w:sz w:val="24"/>
                <w:szCs w:val="24"/>
                <w:lang w:eastAsia="en-GB"/>
              </w:rPr>
              <w:t>Yes - over the amount of money</w:t>
            </w:r>
          </w:p>
        </w:tc>
        <w:tc>
          <w:tcPr>
            <w:tcW w:w="1186" w:type="dxa"/>
            <w:shd w:val="clear" w:color="auto" w:fill="auto"/>
            <w:tcMar>
              <w:top w:w="168" w:type="dxa"/>
              <w:left w:w="120" w:type="dxa"/>
              <w:bottom w:w="192" w:type="dxa"/>
              <w:right w:w="120" w:type="dxa"/>
            </w:tcMar>
            <w:hideMark/>
          </w:tcPr>
          <w:p w:rsidR="003B3C4F" w:rsidRPr="00944CAE" w:rsidRDefault="003B3C4F" w:rsidP="003B3C4F">
            <w:pPr>
              <w:spacing w:after="0" w:line="312" w:lineRule="atLeast"/>
              <w:jc w:val="center"/>
              <w:rPr>
                <w:rFonts w:ascii="Arial" w:eastAsia="Times New Roman" w:hAnsi="Arial" w:cs="Arial"/>
                <w:sz w:val="24"/>
                <w:szCs w:val="24"/>
                <w:lang w:eastAsia="en-GB"/>
              </w:rPr>
            </w:pPr>
            <w:r w:rsidRPr="00944CAE">
              <w:rPr>
                <w:rFonts w:ascii="Arial" w:eastAsia="Times New Roman" w:hAnsi="Arial" w:cs="Arial"/>
                <w:sz w:val="24"/>
                <w:szCs w:val="24"/>
                <w:lang w:eastAsia="en-GB"/>
              </w:rPr>
              <w:t>No - over the metric they use</w:t>
            </w:r>
          </w:p>
        </w:tc>
        <w:tc>
          <w:tcPr>
            <w:tcW w:w="1186" w:type="dxa"/>
            <w:shd w:val="clear" w:color="auto" w:fill="auto"/>
            <w:tcMar>
              <w:top w:w="168" w:type="dxa"/>
              <w:left w:w="120" w:type="dxa"/>
              <w:bottom w:w="192" w:type="dxa"/>
              <w:right w:w="120" w:type="dxa"/>
            </w:tcMar>
            <w:hideMark/>
          </w:tcPr>
          <w:p w:rsidR="003B3C4F" w:rsidRPr="00944CAE" w:rsidRDefault="003B3C4F" w:rsidP="003B3C4F">
            <w:pPr>
              <w:spacing w:after="0" w:line="312" w:lineRule="atLeast"/>
              <w:jc w:val="center"/>
              <w:rPr>
                <w:rFonts w:ascii="Arial" w:eastAsia="Times New Roman" w:hAnsi="Arial" w:cs="Arial"/>
                <w:sz w:val="24"/>
                <w:szCs w:val="24"/>
                <w:lang w:eastAsia="en-GB"/>
              </w:rPr>
            </w:pPr>
            <w:r w:rsidRPr="00944CAE">
              <w:rPr>
                <w:rFonts w:ascii="Arial" w:eastAsia="Times New Roman" w:hAnsi="Arial" w:cs="Arial"/>
                <w:sz w:val="24"/>
                <w:szCs w:val="24"/>
                <w:lang w:eastAsia="en-GB"/>
              </w:rPr>
              <w:t>No - over the amount of money</w:t>
            </w:r>
          </w:p>
        </w:tc>
        <w:tc>
          <w:tcPr>
            <w:tcW w:w="1186" w:type="dxa"/>
            <w:shd w:val="clear" w:color="auto" w:fill="auto"/>
            <w:tcMar>
              <w:top w:w="168" w:type="dxa"/>
              <w:left w:w="120" w:type="dxa"/>
              <w:bottom w:w="192" w:type="dxa"/>
              <w:right w:w="120" w:type="dxa"/>
            </w:tcMar>
            <w:hideMark/>
          </w:tcPr>
          <w:p w:rsidR="003B3C4F" w:rsidRPr="00944CAE" w:rsidRDefault="003B3C4F" w:rsidP="003B3C4F">
            <w:pPr>
              <w:spacing w:after="0" w:line="312" w:lineRule="atLeast"/>
              <w:jc w:val="center"/>
              <w:rPr>
                <w:rFonts w:ascii="Arial" w:eastAsia="Times New Roman" w:hAnsi="Arial" w:cs="Arial"/>
                <w:sz w:val="24"/>
                <w:szCs w:val="24"/>
                <w:lang w:eastAsia="en-GB"/>
              </w:rPr>
            </w:pPr>
            <w:r w:rsidRPr="00944CAE">
              <w:rPr>
                <w:rFonts w:ascii="Arial" w:eastAsia="Times New Roman" w:hAnsi="Arial" w:cs="Arial"/>
                <w:sz w:val="24"/>
                <w:szCs w:val="24"/>
                <w:lang w:eastAsia="en-GB"/>
              </w:rPr>
              <w:t>Unsure when it comes to metrics</w:t>
            </w:r>
          </w:p>
        </w:tc>
        <w:tc>
          <w:tcPr>
            <w:tcW w:w="1186" w:type="dxa"/>
            <w:shd w:val="clear" w:color="auto" w:fill="auto"/>
            <w:tcMar>
              <w:top w:w="168" w:type="dxa"/>
              <w:left w:w="120" w:type="dxa"/>
              <w:bottom w:w="192" w:type="dxa"/>
              <w:right w:w="120" w:type="dxa"/>
            </w:tcMar>
            <w:hideMark/>
          </w:tcPr>
          <w:p w:rsidR="003B3C4F" w:rsidRPr="00944CAE" w:rsidRDefault="003B3C4F" w:rsidP="003B3C4F">
            <w:pPr>
              <w:spacing w:after="0" w:line="312" w:lineRule="atLeast"/>
              <w:jc w:val="center"/>
              <w:rPr>
                <w:rFonts w:ascii="Arial" w:eastAsia="Times New Roman" w:hAnsi="Arial" w:cs="Arial"/>
                <w:sz w:val="24"/>
                <w:szCs w:val="24"/>
                <w:lang w:eastAsia="en-GB"/>
              </w:rPr>
            </w:pPr>
            <w:r w:rsidRPr="00944CAE">
              <w:rPr>
                <w:rFonts w:ascii="Arial" w:eastAsia="Times New Roman" w:hAnsi="Arial" w:cs="Arial"/>
                <w:sz w:val="24"/>
                <w:szCs w:val="24"/>
                <w:lang w:eastAsia="en-GB"/>
              </w:rPr>
              <w:t>Unsure when it comes to the amount of money</w:t>
            </w:r>
          </w:p>
        </w:tc>
      </w:tr>
      <w:tr w:rsidR="003B3C4F" w:rsidRPr="00944CAE" w:rsidTr="00043B31">
        <w:trPr>
          <w:trHeight w:val="378"/>
        </w:trPr>
        <w:tc>
          <w:tcPr>
            <w:tcW w:w="1708" w:type="dxa"/>
            <w:tcBorders>
              <w:top w:val="single" w:sz="6" w:space="0" w:color="DDDDDD"/>
            </w:tcBorders>
            <w:shd w:val="clear" w:color="auto" w:fill="auto"/>
            <w:tcMar>
              <w:top w:w="168" w:type="dxa"/>
              <w:left w:w="240" w:type="dxa"/>
              <w:bottom w:w="192" w:type="dxa"/>
              <w:right w:w="0" w:type="dxa"/>
            </w:tcMar>
            <w:vAlign w:val="center"/>
            <w:hideMark/>
          </w:tcPr>
          <w:p w:rsidR="003B3C4F" w:rsidRPr="00944CAE" w:rsidRDefault="003B3C4F" w:rsidP="003B3C4F">
            <w:pPr>
              <w:spacing w:after="0" w:line="312" w:lineRule="atLeast"/>
              <w:rPr>
                <w:rFonts w:ascii="Arial" w:eastAsia="Times New Roman" w:hAnsi="Arial" w:cs="Arial"/>
                <w:color w:val="666666"/>
                <w:sz w:val="24"/>
                <w:szCs w:val="24"/>
                <w:lang w:eastAsia="en-GB"/>
              </w:rPr>
            </w:pPr>
            <w:r w:rsidRPr="00944CAE">
              <w:rPr>
                <w:rFonts w:ascii="Arial" w:eastAsia="Times New Roman" w:hAnsi="Arial" w:cs="Arial"/>
                <w:color w:val="666666"/>
                <w:sz w:val="24"/>
                <w:szCs w:val="24"/>
                <w:lang w:eastAsia="en-GB"/>
              </w:rPr>
              <w:t>Deprivation</w:t>
            </w:r>
          </w:p>
        </w:tc>
        <w:tc>
          <w:tcPr>
            <w:tcW w:w="1125" w:type="dxa"/>
            <w:tcBorders>
              <w:top w:val="single" w:sz="6" w:space="0" w:color="DDDDDD"/>
            </w:tcBorders>
            <w:shd w:val="clear" w:color="auto" w:fill="auto"/>
            <w:tcMar>
              <w:top w:w="168" w:type="dxa"/>
              <w:left w:w="120" w:type="dxa"/>
              <w:bottom w:w="192" w:type="dxa"/>
              <w:right w:w="120" w:type="dxa"/>
            </w:tcMar>
            <w:vAlign w:val="center"/>
            <w:hideMark/>
          </w:tcPr>
          <w:p w:rsidR="003B3C4F" w:rsidRPr="00944CAE" w:rsidRDefault="003B3C4F" w:rsidP="003B3C4F">
            <w:pPr>
              <w:spacing w:after="0" w:line="312" w:lineRule="atLeast"/>
              <w:rPr>
                <w:rFonts w:ascii="Arial" w:eastAsia="Times New Roman" w:hAnsi="Arial" w:cs="Arial"/>
                <w:sz w:val="24"/>
                <w:szCs w:val="24"/>
                <w:lang w:eastAsia="en-GB"/>
              </w:rPr>
            </w:pPr>
            <w:r w:rsidRPr="00944CAE">
              <w:rPr>
                <w:rFonts w:ascii="Arial" w:eastAsia="Times New Roman" w:hAnsi="Arial" w:cs="Arial"/>
                <w:sz w:val="24"/>
                <w:szCs w:val="24"/>
              </w:rPr>
              <w:object w:dxaOrig="1440" w:dyaOrig="1440" w14:anchorId="3FCCCF12">
                <v:shape id="_x0000_i1413" type="#_x0000_t75" style="width:20.1pt;height:17.6pt" o:ole="">
                  <v:imagedata r:id="rId83" o:title=""/>
                </v:shape>
                <w:control r:id="rId84" w:name="DefaultOcxName281" w:shapeid="_x0000_i1413"/>
              </w:object>
            </w:r>
          </w:p>
        </w:tc>
        <w:tc>
          <w:tcPr>
            <w:tcW w:w="1600" w:type="dxa"/>
            <w:tcBorders>
              <w:top w:val="single" w:sz="6" w:space="0" w:color="DDDDDD"/>
            </w:tcBorders>
            <w:shd w:val="clear" w:color="auto" w:fill="auto"/>
            <w:tcMar>
              <w:top w:w="168" w:type="dxa"/>
              <w:left w:w="120" w:type="dxa"/>
              <w:bottom w:w="192" w:type="dxa"/>
              <w:right w:w="120" w:type="dxa"/>
            </w:tcMar>
            <w:vAlign w:val="center"/>
            <w:hideMark/>
          </w:tcPr>
          <w:p w:rsidR="003B3C4F" w:rsidRPr="00944CAE" w:rsidRDefault="003B3C4F" w:rsidP="003B3C4F">
            <w:pPr>
              <w:spacing w:after="0" w:line="312" w:lineRule="atLeast"/>
              <w:rPr>
                <w:rFonts w:ascii="Arial" w:eastAsia="Times New Roman" w:hAnsi="Arial" w:cs="Arial"/>
                <w:sz w:val="24"/>
                <w:szCs w:val="24"/>
                <w:lang w:eastAsia="en-GB"/>
              </w:rPr>
            </w:pPr>
            <w:r w:rsidRPr="00944CAE">
              <w:rPr>
                <w:rFonts w:ascii="Arial" w:eastAsia="Times New Roman" w:hAnsi="Arial" w:cs="Arial"/>
                <w:sz w:val="24"/>
                <w:szCs w:val="24"/>
              </w:rPr>
              <w:object w:dxaOrig="1440" w:dyaOrig="1440" w14:anchorId="4F3E6289">
                <v:shape id="_x0000_i1416" type="#_x0000_t75" style="width:20.1pt;height:17.6pt" o:ole="">
                  <v:imagedata r:id="rId83" o:title=""/>
                </v:shape>
                <w:control r:id="rId85" w:name="DefaultOcxName291" w:shapeid="_x0000_i1416"/>
              </w:object>
            </w:r>
          </w:p>
        </w:tc>
        <w:tc>
          <w:tcPr>
            <w:tcW w:w="0" w:type="auto"/>
            <w:tcBorders>
              <w:top w:val="single" w:sz="6" w:space="0" w:color="DDDDDD"/>
            </w:tcBorders>
            <w:shd w:val="clear" w:color="auto" w:fill="auto"/>
            <w:tcMar>
              <w:top w:w="168" w:type="dxa"/>
              <w:left w:w="120" w:type="dxa"/>
              <w:bottom w:w="192" w:type="dxa"/>
              <w:right w:w="120" w:type="dxa"/>
            </w:tcMar>
            <w:vAlign w:val="center"/>
            <w:hideMark/>
          </w:tcPr>
          <w:p w:rsidR="003B3C4F" w:rsidRPr="00944CAE" w:rsidRDefault="003B3C4F" w:rsidP="003B3C4F">
            <w:pPr>
              <w:spacing w:after="0" w:line="312" w:lineRule="atLeast"/>
              <w:rPr>
                <w:rFonts w:ascii="Arial" w:eastAsia="Times New Roman" w:hAnsi="Arial" w:cs="Arial"/>
                <w:sz w:val="24"/>
                <w:szCs w:val="24"/>
                <w:lang w:eastAsia="en-GB"/>
              </w:rPr>
            </w:pPr>
            <w:r w:rsidRPr="00944CAE">
              <w:rPr>
                <w:rFonts w:ascii="Arial" w:eastAsia="Times New Roman" w:hAnsi="Arial" w:cs="Arial"/>
                <w:sz w:val="24"/>
                <w:szCs w:val="24"/>
              </w:rPr>
              <w:object w:dxaOrig="1440" w:dyaOrig="1440" w14:anchorId="7D6AC489">
                <v:shape id="_x0000_i1419" type="#_x0000_t75" style="width:20.1pt;height:17.6pt" o:ole="">
                  <v:imagedata r:id="rId86" o:title=""/>
                </v:shape>
                <w:control r:id="rId87" w:name="DefaultOcxName301" w:shapeid="_x0000_i1419"/>
              </w:object>
            </w:r>
          </w:p>
        </w:tc>
        <w:tc>
          <w:tcPr>
            <w:tcW w:w="0" w:type="auto"/>
            <w:tcBorders>
              <w:top w:val="single" w:sz="6" w:space="0" w:color="DDDDDD"/>
            </w:tcBorders>
            <w:shd w:val="clear" w:color="auto" w:fill="auto"/>
            <w:tcMar>
              <w:top w:w="168" w:type="dxa"/>
              <w:left w:w="120" w:type="dxa"/>
              <w:bottom w:w="192" w:type="dxa"/>
              <w:right w:w="120" w:type="dxa"/>
            </w:tcMar>
            <w:vAlign w:val="center"/>
            <w:hideMark/>
          </w:tcPr>
          <w:p w:rsidR="003B3C4F" w:rsidRPr="00944CAE" w:rsidRDefault="003B3C4F" w:rsidP="003B3C4F">
            <w:pPr>
              <w:spacing w:after="0" w:line="312" w:lineRule="atLeast"/>
              <w:rPr>
                <w:rFonts w:ascii="Arial" w:eastAsia="Times New Roman" w:hAnsi="Arial" w:cs="Arial"/>
                <w:sz w:val="24"/>
                <w:szCs w:val="24"/>
                <w:lang w:eastAsia="en-GB"/>
              </w:rPr>
            </w:pPr>
            <w:r w:rsidRPr="00944CAE">
              <w:rPr>
                <w:rFonts w:ascii="Arial" w:eastAsia="Times New Roman" w:hAnsi="Arial" w:cs="Arial"/>
                <w:sz w:val="24"/>
                <w:szCs w:val="24"/>
              </w:rPr>
              <w:object w:dxaOrig="1440" w:dyaOrig="1440" w14:anchorId="45F973F4">
                <v:shape id="_x0000_i1422" type="#_x0000_t75" style="width:20.1pt;height:17.6pt" o:ole="">
                  <v:imagedata r:id="rId86" o:title=""/>
                </v:shape>
                <w:control r:id="rId88" w:name="DefaultOcxName311" w:shapeid="_x0000_i1422"/>
              </w:object>
            </w:r>
          </w:p>
        </w:tc>
        <w:tc>
          <w:tcPr>
            <w:tcW w:w="0" w:type="auto"/>
            <w:tcBorders>
              <w:top w:val="single" w:sz="6" w:space="0" w:color="DDDDDD"/>
            </w:tcBorders>
            <w:shd w:val="clear" w:color="auto" w:fill="auto"/>
            <w:tcMar>
              <w:top w:w="168" w:type="dxa"/>
              <w:left w:w="120" w:type="dxa"/>
              <w:bottom w:w="192" w:type="dxa"/>
              <w:right w:w="120" w:type="dxa"/>
            </w:tcMar>
            <w:vAlign w:val="center"/>
            <w:hideMark/>
          </w:tcPr>
          <w:p w:rsidR="003B3C4F" w:rsidRPr="00944CAE" w:rsidRDefault="003B3C4F" w:rsidP="003B3C4F">
            <w:pPr>
              <w:spacing w:after="0" w:line="312" w:lineRule="atLeast"/>
              <w:rPr>
                <w:rFonts w:ascii="Arial" w:eastAsia="Times New Roman" w:hAnsi="Arial" w:cs="Arial"/>
                <w:sz w:val="24"/>
                <w:szCs w:val="24"/>
                <w:lang w:eastAsia="en-GB"/>
              </w:rPr>
            </w:pPr>
            <w:r w:rsidRPr="00944CAE">
              <w:rPr>
                <w:rFonts w:ascii="Arial" w:eastAsia="Times New Roman" w:hAnsi="Arial" w:cs="Arial"/>
                <w:sz w:val="24"/>
                <w:szCs w:val="24"/>
              </w:rPr>
              <w:object w:dxaOrig="1440" w:dyaOrig="1440" w14:anchorId="6C1606A2">
                <v:shape id="_x0000_i1425" type="#_x0000_t75" style="width:20.1pt;height:17.6pt" o:ole="">
                  <v:imagedata r:id="rId86" o:title=""/>
                </v:shape>
                <w:control r:id="rId89" w:name="DefaultOcxName321" w:shapeid="_x0000_i1425"/>
              </w:object>
            </w:r>
          </w:p>
        </w:tc>
        <w:tc>
          <w:tcPr>
            <w:tcW w:w="0" w:type="auto"/>
            <w:tcBorders>
              <w:top w:val="single" w:sz="6" w:space="0" w:color="DDDDDD"/>
            </w:tcBorders>
            <w:shd w:val="clear" w:color="auto" w:fill="auto"/>
            <w:tcMar>
              <w:top w:w="168" w:type="dxa"/>
              <w:left w:w="120" w:type="dxa"/>
              <w:bottom w:w="192" w:type="dxa"/>
              <w:right w:w="120" w:type="dxa"/>
            </w:tcMar>
            <w:vAlign w:val="center"/>
            <w:hideMark/>
          </w:tcPr>
          <w:p w:rsidR="003B3C4F" w:rsidRPr="00944CAE" w:rsidRDefault="003B3C4F" w:rsidP="003B3C4F">
            <w:pPr>
              <w:spacing w:after="0" w:line="312" w:lineRule="atLeast"/>
              <w:rPr>
                <w:rFonts w:ascii="Arial" w:eastAsia="Times New Roman" w:hAnsi="Arial" w:cs="Arial"/>
                <w:sz w:val="24"/>
                <w:szCs w:val="24"/>
                <w:lang w:eastAsia="en-GB"/>
              </w:rPr>
            </w:pPr>
            <w:r w:rsidRPr="00944CAE">
              <w:rPr>
                <w:rFonts w:ascii="Arial" w:eastAsia="Times New Roman" w:hAnsi="Arial" w:cs="Arial"/>
                <w:sz w:val="24"/>
                <w:szCs w:val="24"/>
              </w:rPr>
              <w:object w:dxaOrig="1440" w:dyaOrig="1440" w14:anchorId="2D796A86">
                <v:shape id="_x0000_i1428" type="#_x0000_t75" style="width:20.1pt;height:17.6pt" o:ole="">
                  <v:imagedata r:id="rId86" o:title=""/>
                </v:shape>
                <w:control r:id="rId90" w:name="DefaultOcxName331" w:shapeid="_x0000_i1428"/>
              </w:object>
            </w:r>
          </w:p>
        </w:tc>
      </w:tr>
      <w:tr w:rsidR="003B3C4F" w:rsidRPr="00944CAE" w:rsidTr="00043B31">
        <w:trPr>
          <w:trHeight w:val="378"/>
        </w:trPr>
        <w:tc>
          <w:tcPr>
            <w:tcW w:w="1708" w:type="dxa"/>
            <w:tcBorders>
              <w:top w:val="single" w:sz="6" w:space="0" w:color="DDDDDD"/>
            </w:tcBorders>
            <w:shd w:val="clear" w:color="auto" w:fill="auto"/>
            <w:tcMar>
              <w:top w:w="168" w:type="dxa"/>
              <w:left w:w="240" w:type="dxa"/>
              <w:bottom w:w="192" w:type="dxa"/>
              <w:right w:w="0" w:type="dxa"/>
            </w:tcMar>
            <w:vAlign w:val="center"/>
            <w:hideMark/>
          </w:tcPr>
          <w:p w:rsidR="003B3C4F" w:rsidRPr="00944CAE" w:rsidRDefault="003B3C4F" w:rsidP="003B3C4F">
            <w:pPr>
              <w:spacing w:after="0" w:line="312" w:lineRule="atLeast"/>
              <w:rPr>
                <w:rFonts w:ascii="Arial" w:eastAsia="Times New Roman" w:hAnsi="Arial" w:cs="Arial"/>
                <w:color w:val="666666"/>
                <w:sz w:val="24"/>
                <w:szCs w:val="24"/>
                <w:lang w:eastAsia="en-GB"/>
              </w:rPr>
            </w:pPr>
            <w:r w:rsidRPr="00944CAE">
              <w:rPr>
                <w:rFonts w:ascii="Arial" w:eastAsia="Times New Roman" w:hAnsi="Arial" w:cs="Arial"/>
                <w:color w:val="666666"/>
                <w:sz w:val="24"/>
                <w:szCs w:val="24"/>
                <w:lang w:eastAsia="en-GB"/>
              </w:rPr>
              <w:t>Sparsity / rural areas</w:t>
            </w:r>
          </w:p>
        </w:tc>
        <w:tc>
          <w:tcPr>
            <w:tcW w:w="1125" w:type="dxa"/>
            <w:tcBorders>
              <w:top w:val="single" w:sz="6" w:space="0" w:color="DDDDDD"/>
            </w:tcBorders>
            <w:shd w:val="clear" w:color="auto" w:fill="auto"/>
            <w:tcMar>
              <w:top w:w="168" w:type="dxa"/>
              <w:left w:w="120" w:type="dxa"/>
              <w:bottom w:w="192" w:type="dxa"/>
              <w:right w:w="120" w:type="dxa"/>
            </w:tcMar>
            <w:vAlign w:val="center"/>
            <w:hideMark/>
          </w:tcPr>
          <w:p w:rsidR="003B3C4F" w:rsidRPr="00944CAE" w:rsidRDefault="003B3C4F" w:rsidP="003B3C4F">
            <w:pPr>
              <w:spacing w:after="0" w:line="312" w:lineRule="atLeast"/>
              <w:rPr>
                <w:rFonts w:ascii="Arial" w:eastAsia="Times New Roman" w:hAnsi="Arial" w:cs="Arial"/>
                <w:sz w:val="24"/>
                <w:szCs w:val="24"/>
                <w:lang w:eastAsia="en-GB"/>
              </w:rPr>
            </w:pPr>
            <w:r w:rsidRPr="00944CAE">
              <w:rPr>
                <w:rFonts w:ascii="Arial" w:eastAsia="Times New Roman" w:hAnsi="Arial" w:cs="Arial"/>
                <w:sz w:val="24"/>
                <w:szCs w:val="24"/>
              </w:rPr>
              <w:object w:dxaOrig="1440" w:dyaOrig="1440" w14:anchorId="54B8E432">
                <v:shape id="_x0000_i1431" type="#_x0000_t75" style="width:20.1pt;height:17.6pt" o:ole="">
                  <v:imagedata r:id="rId83" o:title=""/>
                </v:shape>
                <w:control r:id="rId91" w:name="DefaultOcxName34" w:shapeid="_x0000_i1431"/>
              </w:object>
            </w:r>
          </w:p>
        </w:tc>
        <w:tc>
          <w:tcPr>
            <w:tcW w:w="1600" w:type="dxa"/>
            <w:tcBorders>
              <w:top w:val="single" w:sz="6" w:space="0" w:color="DDDDDD"/>
            </w:tcBorders>
            <w:shd w:val="clear" w:color="auto" w:fill="auto"/>
            <w:tcMar>
              <w:top w:w="168" w:type="dxa"/>
              <w:left w:w="120" w:type="dxa"/>
              <w:bottom w:w="192" w:type="dxa"/>
              <w:right w:w="120" w:type="dxa"/>
            </w:tcMar>
            <w:vAlign w:val="center"/>
            <w:hideMark/>
          </w:tcPr>
          <w:p w:rsidR="003B3C4F" w:rsidRPr="00944CAE" w:rsidRDefault="003B3C4F" w:rsidP="003B3C4F">
            <w:pPr>
              <w:spacing w:after="0" w:line="312" w:lineRule="atLeast"/>
              <w:rPr>
                <w:rFonts w:ascii="Arial" w:eastAsia="Times New Roman" w:hAnsi="Arial" w:cs="Arial"/>
                <w:sz w:val="24"/>
                <w:szCs w:val="24"/>
                <w:lang w:eastAsia="en-GB"/>
              </w:rPr>
            </w:pPr>
            <w:r w:rsidRPr="00944CAE">
              <w:rPr>
                <w:rFonts w:ascii="Arial" w:eastAsia="Times New Roman" w:hAnsi="Arial" w:cs="Arial"/>
                <w:sz w:val="24"/>
                <w:szCs w:val="24"/>
              </w:rPr>
              <w:object w:dxaOrig="1440" w:dyaOrig="1440" w14:anchorId="13D17A76">
                <v:shape id="_x0000_i1434" type="#_x0000_t75" style="width:20.1pt;height:17.6pt" o:ole="">
                  <v:imagedata r:id="rId83" o:title=""/>
                </v:shape>
                <w:control r:id="rId92" w:name="DefaultOcxName35" w:shapeid="_x0000_i1434"/>
              </w:object>
            </w:r>
          </w:p>
        </w:tc>
        <w:tc>
          <w:tcPr>
            <w:tcW w:w="0" w:type="auto"/>
            <w:tcBorders>
              <w:top w:val="single" w:sz="6" w:space="0" w:color="DDDDDD"/>
            </w:tcBorders>
            <w:shd w:val="clear" w:color="auto" w:fill="auto"/>
            <w:tcMar>
              <w:top w:w="168" w:type="dxa"/>
              <w:left w:w="120" w:type="dxa"/>
              <w:bottom w:w="192" w:type="dxa"/>
              <w:right w:w="120" w:type="dxa"/>
            </w:tcMar>
            <w:vAlign w:val="center"/>
            <w:hideMark/>
          </w:tcPr>
          <w:p w:rsidR="003B3C4F" w:rsidRPr="00944CAE" w:rsidRDefault="003B3C4F" w:rsidP="003B3C4F">
            <w:pPr>
              <w:spacing w:after="0" w:line="312" w:lineRule="atLeast"/>
              <w:rPr>
                <w:rFonts w:ascii="Arial" w:eastAsia="Times New Roman" w:hAnsi="Arial" w:cs="Arial"/>
                <w:sz w:val="24"/>
                <w:szCs w:val="24"/>
                <w:lang w:eastAsia="en-GB"/>
              </w:rPr>
            </w:pPr>
            <w:r w:rsidRPr="00944CAE">
              <w:rPr>
                <w:rFonts w:ascii="Arial" w:eastAsia="Times New Roman" w:hAnsi="Arial" w:cs="Arial"/>
                <w:sz w:val="24"/>
                <w:szCs w:val="24"/>
              </w:rPr>
              <w:object w:dxaOrig="1440" w:dyaOrig="1440" w14:anchorId="73B57B16">
                <v:shape id="_x0000_i1437" type="#_x0000_t75" style="width:20.1pt;height:17.6pt" o:ole="">
                  <v:imagedata r:id="rId86" o:title=""/>
                </v:shape>
                <w:control r:id="rId93" w:name="DefaultOcxName36" w:shapeid="_x0000_i1437"/>
              </w:object>
            </w:r>
          </w:p>
        </w:tc>
        <w:tc>
          <w:tcPr>
            <w:tcW w:w="0" w:type="auto"/>
            <w:tcBorders>
              <w:top w:val="single" w:sz="6" w:space="0" w:color="DDDDDD"/>
            </w:tcBorders>
            <w:shd w:val="clear" w:color="auto" w:fill="auto"/>
            <w:tcMar>
              <w:top w:w="168" w:type="dxa"/>
              <w:left w:w="120" w:type="dxa"/>
              <w:bottom w:w="192" w:type="dxa"/>
              <w:right w:w="120" w:type="dxa"/>
            </w:tcMar>
            <w:vAlign w:val="center"/>
            <w:hideMark/>
          </w:tcPr>
          <w:p w:rsidR="003B3C4F" w:rsidRPr="00944CAE" w:rsidRDefault="003B3C4F" w:rsidP="003B3C4F">
            <w:pPr>
              <w:spacing w:after="0" w:line="312" w:lineRule="atLeast"/>
              <w:rPr>
                <w:rFonts w:ascii="Arial" w:eastAsia="Times New Roman" w:hAnsi="Arial" w:cs="Arial"/>
                <w:sz w:val="24"/>
                <w:szCs w:val="24"/>
                <w:lang w:eastAsia="en-GB"/>
              </w:rPr>
            </w:pPr>
            <w:r w:rsidRPr="00944CAE">
              <w:rPr>
                <w:rFonts w:ascii="Arial" w:eastAsia="Times New Roman" w:hAnsi="Arial" w:cs="Arial"/>
                <w:sz w:val="24"/>
                <w:szCs w:val="24"/>
              </w:rPr>
              <w:object w:dxaOrig="1440" w:dyaOrig="1440" w14:anchorId="6699673B">
                <v:shape id="_x0000_i1440" type="#_x0000_t75" style="width:20.1pt;height:17.6pt" o:ole="">
                  <v:imagedata r:id="rId86" o:title=""/>
                </v:shape>
                <w:control r:id="rId94" w:name="DefaultOcxName37" w:shapeid="_x0000_i1440"/>
              </w:object>
            </w:r>
          </w:p>
        </w:tc>
        <w:tc>
          <w:tcPr>
            <w:tcW w:w="0" w:type="auto"/>
            <w:tcBorders>
              <w:top w:val="single" w:sz="6" w:space="0" w:color="DDDDDD"/>
            </w:tcBorders>
            <w:shd w:val="clear" w:color="auto" w:fill="auto"/>
            <w:tcMar>
              <w:top w:w="168" w:type="dxa"/>
              <w:left w:w="120" w:type="dxa"/>
              <w:bottom w:w="192" w:type="dxa"/>
              <w:right w:w="120" w:type="dxa"/>
            </w:tcMar>
            <w:vAlign w:val="center"/>
            <w:hideMark/>
          </w:tcPr>
          <w:p w:rsidR="003B3C4F" w:rsidRPr="00944CAE" w:rsidRDefault="003B3C4F" w:rsidP="003B3C4F">
            <w:pPr>
              <w:spacing w:after="0" w:line="312" w:lineRule="atLeast"/>
              <w:rPr>
                <w:rFonts w:ascii="Arial" w:eastAsia="Times New Roman" w:hAnsi="Arial" w:cs="Arial"/>
                <w:sz w:val="24"/>
                <w:szCs w:val="24"/>
                <w:lang w:eastAsia="en-GB"/>
              </w:rPr>
            </w:pPr>
            <w:r w:rsidRPr="00944CAE">
              <w:rPr>
                <w:rFonts w:ascii="Arial" w:eastAsia="Times New Roman" w:hAnsi="Arial" w:cs="Arial"/>
                <w:sz w:val="24"/>
                <w:szCs w:val="24"/>
              </w:rPr>
              <w:object w:dxaOrig="1440" w:dyaOrig="1440" w14:anchorId="4919A00C">
                <v:shape id="_x0000_i1443" type="#_x0000_t75" style="width:20.1pt;height:17.6pt" o:ole="">
                  <v:imagedata r:id="rId86" o:title=""/>
                </v:shape>
                <w:control r:id="rId95" w:name="DefaultOcxName38" w:shapeid="_x0000_i1443"/>
              </w:object>
            </w:r>
          </w:p>
        </w:tc>
        <w:tc>
          <w:tcPr>
            <w:tcW w:w="0" w:type="auto"/>
            <w:tcBorders>
              <w:top w:val="single" w:sz="6" w:space="0" w:color="DDDDDD"/>
            </w:tcBorders>
            <w:shd w:val="clear" w:color="auto" w:fill="auto"/>
            <w:tcMar>
              <w:top w:w="168" w:type="dxa"/>
              <w:left w:w="120" w:type="dxa"/>
              <w:bottom w:w="192" w:type="dxa"/>
              <w:right w:w="120" w:type="dxa"/>
            </w:tcMar>
            <w:vAlign w:val="center"/>
            <w:hideMark/>
          </w:tcPr>
          <w:p w:rsidR="003B3C4F" w:rsidRPr="00944CAE" w:rsidRDefault="003B3C4F" w:rsidP="003B3C4F">
            <w:pPr>
              <w:spacing w:after="0" w:line="312" w:lineRule="atLeast"/>
              <w:rPr>
                <w:rFonts w:ascii="Arial" w:eastAsia="Times New Roman" w:hAnsi="Arial" w:cs="Arial"/>
                <w:sz w:val="24"/>
                <w:szCs w:val="24"/>
                <w:lang w:eastAsia="en-GB"/>
              </w:rPr>
            </w:pPr>
            <w:r w:rsidRPr="00944CAE">
              <w:rPr>
                <w:rFonts w:ascii="Arial" w:eastAsia="Times New Roman" w:hAnsi="Arial" w:cs="Arial"/>
                <w:sz w:val="24"/>
                <w:szCs w:val="24"/>
              </w:rPr>
              <w:object w:dxaOrig="1440" w:dyaOrig="1440" w14:anchorId="1851669D">
                <v:shape id="_x0000_i1446" type="#_x0000_t75" style="width:20.1pt;height:17.6pt" o:ole="">
                  <v:imagedata r:id="rId86" o:title=""/>
                </v:shape>
                <w:control r:id="rId96" w:name="DefaultOcxName39" w:shapeid="_x0000_i1446"/>
              </w:object>
            </w:r>
          </w:p>
        </w:tc>
      </w:tr>
      <w:tr w:rsidR="003B3C4F" w:rsidRPr="00944CAE" w:rsidTr="00043B31">
        <w:trPr>
          <w:trHeight w:val="378"/>
        </w:trPr>
        <w:tc>
          <w:tcPr>
            <w:tcW w:w="1708" w:type="dxa"/>
            <w:tcBorders>
              <w:top w:val="single" w:sz="6" w:space="0" w:color="DDDDDD"/>
            </w:tcBorders>
            <w:shd w:val="clear" w:color="auto" w:fill="auto"/>
            <w:tcMar>
              <w:top w:w="168" w:type="dxa"/>
              <w:left w:w="240" w:type="dxa"/>
              <w:bottom w:w="192" w:type="dxa"/>
              <w:right w:w="0" w:type="dxa"/>
            </w:tcMar>
            <w:vAlign w:val="center"/>
            <w:hideMark/>
          </w:tcPr>
          <w:p w:rsidR="003B3C4F" w:rsidRPr="00944CAE" w:rsidRDefault="003B3C4F" w:rsidP="003B3C4F">
            <w:pPr>
              <w:spacing w:after="0" w:line="312" w:lineRule="atLeast"/>
              <w:rPr>
                <w:rFonts w:ascii="Arial" w:eastAsia="Times New Roman" w:hAnsi="Arial" w:cs="Arial"/>
                <w:color w:val="666666"/>
                <w:sz w:val="24"/>
                <w:szCs w:val="24"/>
                <w:lang w:eastAsia="en-GB"/>
              </w:rPr>
            </w:pPr>
            <w:r w:rsidRPr="00944CAE">
              <w:rPr>
                <w:rFonts w:ascii="Arial" w:eastAsia="Times New Roman" w:hAnsi="Arial" w:cs="Arial"/>
                <w:color w:val="666666"/>
                <w:sz w:val="24"/>
                <w:szCs w:val="24"/>
                <w:lang w:eastAsia="en-GB"/>
              </w:rPr>
              <w:t>Flexibility</w:t>
            </w:r>
          </w:p>
        </w:tc>
        <w:tc>
          <w:tcPr>
            <w:tcW w:w="1125" w:type="dxa"/>
            <w:tcBorders>
              <w:top w:val="single" w:sz="6" w:space="0" w:color="DDDDDD"/>
            </w:tcBorders>
            <w:shd w:val="clear" w:color="auto" w:fill="auto"/>
            <w:tcMar>
              <w:top w:w="168" w:type="dxa"/>
              <w:left w:w="120" w:type="dxa"/>
              <w:bottom w:w="192" w:type="dxa"/>
              <w:right w:w="120" w:type="dxa"/>
            </w:tcMar>
            <w:vAlign w:val="center"/>
            <w:hideMark/>
          </w:tcPr>
          <w:p w:rsidR="003B3C4F" w:rsidRPr="00944CAE" w:rsidRDefault="003B3C4F" w:rsidP="003B3C4F">
            <w:pPr>
              <w:spacing w:after="0" w:line="312" w:lineRule="atLeast"/>
              <w:rPr>
                <w:rFonts w:ascii="Arial" w:eastAsia="Times New Roman" w:hAnsi="Arial" w:cs="Arial"/>
                <w:sz w:val="24"/>
                <w:szCs w:val="24"/>
                <w:lang w:eastAsia="en-GB"/>
              </w:rPr>
            </w:pPr>
            <w:r w:rsidRPr="00944CAE">
              <w:rPr>
                <w:rFonts w:ascii="Arial" w:eastAsia="Times New Roman" w:hAnsi="Arial" w:cs="Arial"/>
                <w:sz w:val="24"/>
                <w:szCs w:val="24"/>
              </w:rPr>
              <w:object w:dxaOrig="1440" w:dyaOrig="1440" w14:anchorId="1F335306">
                <v:shape id="_x0000_i1449" type="#_x0000_t75" style="width:20.1pt;height:17.6pt" o:ole="">
                  <v:imagedata r:id="rId83" o:title=""/>
                </v:shape>
                <w:control r:id="rId97" w:name="DefaultOcxName40" w:shapeid="_x0000_i1449"/>
              </w:object>
            </w:r>
          </w:p>
        </w:tc>
        <w:tc>
          <w:tcPr>
            <w:tcW w:w="1600" w:type="dxa"/>
            <w:tcBorders>
              <w:top w:val="single" w:sz="6" w:space="0" w:color="DDDDDD"/>
            </w:tcBorders>
            <w:shd w:val="clear" w:color="auto" w:fill="auto"/>
            <w:tcMar>
              <w:top w:w="168" w:type="dxa"/>
              <w:left w:w="120" w:type="dxa"/>
              <w:bottom w:w="192" w:type="dxa"/>
              <w:right w:w="120" w:type="dxa"/>
            </w:tcMar>
            <w:vAlign w:val="center"/>
            <w:hideMark/>
          </w:tcPr>
          <w:p w:rsidR="003B3C4F" w:rsidRPr="00944CAE" w:rsidRDefault="003B3C4F" w:rsidP="003B3C4F">
            <w:pPr>
              <w:spacing w:after="0" w:line="312" w:lineRule="atLeast"/>
              <w:rPr>
                <w:rFonts w:ascii="Arial" w:eastAsia="Times New Roman" w:hAnsi="Arial" w:cs="Arial"/>
                <w:sz w:val="24"/>
                <w:szCs w:val="24"/>
                <w:lang w:eastAsia="en-GB"/>
              </w:rPr>
            </w:pPr>
            <w:r w:rsidRPr="00944CAE">
              <w:rPr>
                <w:rFonts w:ascii="Arial" w:eastAsia="Times New Roman" w:hAnsi="Arial" w:cs="Arial"/>
                <w:sz w:val="24"/>
                <w:szCs w:val="24"/>
              </w:rPr>
              <w:object w:dxaOrig="1440" w:dyaOrig="1440" w14:anchorId="06B0759C">
                <v:shape id="_x0000_i1452" type="#_x0000_t75" style="width:20.1pt;height:17.6pt" o:ole="">
                  <v:imagedata r:id="rId83" o:title=""/>
                </v:shape>
                <w:control r:id="rId98" w:name="DefaultOcxName411" w:shapeid="_x0000_i1452"/>
              </w:object>
            </w:r>
          </w:p>
        </w:tc>
        <w:tc>
          <w:tcPr>
            <w:tcW w:w="0" w:type="auto"/>
            <w:tcBorders>
              <w:top w:val="single" w:sz="6" w:space="0" w:color="DDDDDD"/>
            </w:tcBorders>
            <w:shd w:val="clear" w:color="auto" w:fill="auto"/>
            <w:tcMar>
              <w:top w:w="168" w:type="dxa"/>
              <w:left w:w="120" w:type="dxa"/>
              <w:bottom w:w="192" w:type="dxa"/>
              <w:right w:w="120" w:type="dxa"/>
            </w:tcMar>
            <w:vAlign w:val="center"/>
            <w:hideMark/>
          </w:tcPr>
          <w:p w:rsidR="003B3C4F" w:rsidRPr="00944CAE" w:rsidRDefault="003B3C4F" w:rsidP="003B3C4F">
            <w:pPr>
              <w:spacing w:after="0" w:line="312" w:lineRule="atLeast"/>
              <w:rPr>
                <w:rFonts w:ascii="Arial" w:eastAsia="Times New Roman" w:hAnsi="Arial" w:cs="Arial"/>
                <w:sz w:val="24"/>
                <w:szCs w:val="24"/>
                <w:lang w:eastAsia="en-GB"/>
              </w:rPr>
            </w:pPr>
            <w:r w:rsidRPr="00944CAE">
              <w:rPr>
                <w:rFonts w:ascii="Arial" w:eastAsia="Times New Roman" w:hAnsi="Arial" w:cs="Arial"/>
                <w:sz w:val="24"/>
                <w:szCs w:val="24"/>
              </w:rPr>
              <w:object w:dxaOrig="1440" w:dyaOrig="1440" w14:anchorId="3731E83F">
                <v:shape id="_x0000_i1455" type="#_x0000_t75" style="width:20.1pt;height:17.6pt" o:ole="">
                  <v:imagedata r:id="rId86" o:title=""/>
                </v:shape>
                <w:control r:id="rId99" w:name="DefaultOcxName421" w:shapeid="_x0000_i1455"/>
              </w:object>
            </w:r>
          </w:p>
        </w:tc>
        <w:tc>
          <w:tcPr>
            <w:tcW w:w="0" w:type="auto"/>
            <w:tcBorders>
              <w:top w:val="single" w:sz="6" w:space="0" w:color="DDDDDD"/>
            </w:tcBorders>
            <w:shd w:val="clear" w:color="auto" w:fill="auto"/>
            <w:tcMar>
              <w:top w:w="168" w:type="dxa"/>
              <w:left w:w="120" w:type="dxa"/>
              <w:bottom w:w="192" w:type="dxa"/>
              <w:right w:w="120" w:type="dxa"/>
            </w:tcMar>
            <w:vAlign w:val="center"/>
            <w:hideMark/>
          </w:tcPr>
          <w:p w:rsidR="003B3C4F" w:rsidRPr="00944CAE" w:rsidRDefault="003B3C4F" w:rsidP="003B3C4F">
            <w:pPr>
              <w:spacing w:after="0" w:line="312" w:lineRule="atLeast"/>
              <w:rPr>
                <w:rFonts w:ascii="Arial" w:eastAsia="Times New Roman" w:hAnsi="Arial" w:cs="Arial"/>
                <w:sz w:val="24"/>
                <w:szCs w:val="24"/>
                <w:lang w:eastAsia="en-GB"/>
              </w:rPr>
            </w:pPr>
            <w:r w:rsidRPr="00944CAE">
              <w:rPr>
                <w:rFonts w:ascii="Arial" w:eastAsia="Times New Roman" w:hAnsi="Arial" w:cs="Arial"/>
                <w:sz w:val="24"/>
                <w:szCs w:val="24"/>
              </w:rPr>
              <w:object w:dxaOrig="1440" w:dyaOrig="1440" w14:anchorId="6D0830F4">
                <v:shape id="_x0000_i1458" type="#_x0000_t75" style="width:20.1pt;height:17.6pt" o:ole="">
                  <v:imagedata r:id="rId86" o:title=""/>
                </v:shape>
                <w:control r:id="rId100" w:name="DefaultOcxName43" w:shapeid="_x0000_i1458"/>
              </w:object>
            </w:r>
          </w:p>
        </w:tc>
        <w:tc>
          <w:tcPr>
            <w:tcW w:w="0" w:type="auto"/>
            <w:tcBorders>
              <w:top w:val="single" w:sz="6" w:space="0" w:color="DDDDDD"/>
            </w:tcBorders>
            <w:shd w:val="clear" w:color="auto" w:fill="auto"/>
            <w:tcMar>
              <w:top w:w="168" w:type="dxa"/>
              <w:left w:w="120" w:type="dxa"/>
              <w:bottom w:w="192" w:type="dxa"/>
              <w:right w:w="120" w:type="dxa"/>
            </w:tcMar>
            <w:vAlign w:val="center"/>
            <w:hideMark/>
          </w:tcPr>
          <w:p w:rsidR="003B3C4F" w:rsidRPr="00944CAE" w:rsidRDefault="003B3C4F" w:rsidP="003B3C4F">
            <w:pPr>
              <w:spacing w:after="0" w:line="312" w:lineRule="atLeast"/>
              <w:rPr>
                <w:rFonts w:ascii="Arial" w:eastAsia="Times New Roman" w:hAnsi="Arial" w:cs="Arial"/>
                <w:sz w:val="24"/>
                <w:szCs w:val="24"/>
                <w:lang w:eastAsia="en-GB"/>
              </w:rPr>
            </w:pPr>
            <w:r w:rsidRPr="00944CAE">
              <w:rPr>
                <w:rFonts w:ascii="Arial" w:eastAsia="Times New Roman" w:hAnsi="Arial" w:cs="Arial"/>
                <w:sz w:val="24"/>
                <w:szCs w:val="24"/>
              </w:rPr>
              <w:object w:dxaOrig="1440" w:dyaOrig="1440" w14:anchorId="62710E4A">
                <v:shape id="_x0000_i1461" type="#_x0000_t75" style="width:20.1pt;height:17.6pt" o:ole="">
                  <v:imagedata r:id="rId86" o:title=""/>
                </v:shape>
                <w:control r:id="rId101" w:name="DefaultOcxName44" w:shapeid="_x0000_i1461"/>
              </w:object>
            </w:r>
          </w:p>
        </w:tc>
        <w:tc>
          <w:tcPr>
            <w:tcW w:w="0" w:type="auto"/>
            <w:tcBorders>
              <w:top w:val="single" w:sz="6" w:space="0" w:color="DDDDDD"/>
            </w:tcBorders>
            <w:shd w:val="clear" w:color="auto" w:fill="auto"/>
            <w:tcMar>
              <w:top w:w="168" w:type="dxa"/>
              <w:left w:w="120" w:type="dxa"/>
              <w:bottom w:w="192" w:type="dxa"/>
              <w:right w:w="120" w:type="dxa"/>
            </w:tcMar>
            <w:vAlign w:val="center"/>
            <w:hideMark/>
          </w:tcPr>
          <w:p w:rsidR="003B3C4F" w:rsidRPr="00944CAE" w:rsidRDefault="003B3C4F" w:rsidP="003B3C4F">
            <w:pPr>
              <w:spacing w:after="0" w:line="312" w:lineRule="atLeast"/>
              <w:rPr>
                <w:rFonts w:ascii="Arial" w:eastAsia="Times New Roman" w:hAnsi="Arial" w:cs="Arial"/>
                <w:sz w:val="24"/>
                <w:szCs w:val="24"/>
                <w:lang w:eastAsia="en-GB"/>
              </w:rPr>
            </w:pPr>
            <w:r w:rsidRPr="00944CAE">
              <w:rPr>
                <w:rFonts w:ascii="Arial" w:eastAsia="Times New Roman" w:hAnsi="Arial" w:cs="Arial"/>
                <w:sz w:val="24"/>
                <w:szCs w:val="24"/>
              </w:rPr>
              <w:object w:dxaOrig="1440" w:dyaOrig="1440" w14:anchorId="500F6EB9">
                <v:shape id="_x0000_i1464" type="#_x0000_t75" style="width:20.1pt;height:17.6pt" o:ole="">
                  <v:imagedata r:id="rId86" o:title=""/>
                </v:shape>
                <w:control r:id="rId102" w:name="DefaultOcxName45" w:shapeid="_x0000_i1464"/>
              </w:object>
            </w:r>
          </w:p>
        </w:tc>
      </w:tr>
      <w:tr w:rsidR="003B3C4F" w:rsidRPr="00944CAE" w:rsidTr="00043B31">
        <w:trPr>
          <w:trHeight w:val="378"/>
        </w:trPr>
        <w:tc>
          <w:tcPr>
            <w:tcW w:w="1708" w:type="dxa"/>
            <w:tcBorders>
              <w:top w:val="single" w:sz="6" w:space="0" w:color="DDDDDD"/>
            </w:tcBorders>
            <w:shd w:val="clear" w:color="auto" w:fill="auto"/>
            <w:tcMar>
              <w:top w:w="168" w:type="dxa"/>
              <w:left w:w="240" w:type="dxa"/>
              <w:bottom w:w="192" w:type="dxa"/>
              <w:right w:w="0" w:type="dxa"/>
            </w:tcMar>
            <w:vAlign w:val="center"/>
            <w:hideMark/>
          </w:tcPr>
          <w:p w:rsidR="003B3C4F" w:rsidRPr="00944CAE" w:rsidRDefault="003B3C4F" w:rsidP="003B3C4F">
            <w:pPr>
              <w:spacing w:after="0" w:line="312" w:lineRule="atLeast"/>
              <w:rPr>
                <w:rFonts w:ascii="Arial" w:eastAsia="Times New Roman" w:hAnsi="Arial" w:cs="Arial"/>
                <w:color w:val="666666"/>
                <w:sz w:val="24"/>
                <w:szCs w:val="24"/>
                <w:lang w:eastAsia="en-GB"/>
              </w:rPr>
            </w:pPr>
            <w:r w:rsidRPr="00944CAE">
              <w:rPr>
                <w:rFonts w:ascii="Arial" w:eastAsia="Times New Roman" w:hAnsi="Arial" w:cs="Arial"/>
                <w:color w:val="666666"/>
                <w:sz w:val="24"/>
                <w:szCs w:val="24"/>
                <w:lang w:eastAsia="en-GB"/>
              </w:rPr>
              <w:t>Efficiency</w:t>
            </w:r>
          </w:p>
        </w:tc>
        <w:tc>
          <w:tcPr>
            <w:tcW w:w="1125" w:type="dxa"/>
            <w:tcBorders>
              <w:top w:val="single" w:sz="6" w:space="0" w:color="DDDDDD"/>
            </w:tcBorders>
            <w:shd w:val="clear" w:color="auto" w:fill="auto"/>
            <w:tcMar>
              <w:top w:w="168" w:type="dxa"/>
              <w:left w:w="120" w:type="dxa"/>
              <w:bottom w:w="192" w:type="dxa"/>
              <w:right w:w="120" w:type="dxa"/>
            </w:tcMar>
            <w:vAlign w:val="center"/>
            <w:hideMark/>
          </w:tcPr>
          <w:p w:rsidR="003B3C4F" w:rsidRPr="00944CAE" w:rsidRDefault="003B3C4F" w:rsidP="003B3C4F">
            <w:pPr>
              <w:spacing w:after="0" w:line="312" w:lineRule="atLeast"/>
              <w:rPr>
                <w:rFonts w:ascii="Arial" w:eastAsia="Times New Roman" w:hAnsi="Arial" w:cs="Arial"/>
                <w:sz w:val="24"/>
                <w:szCs w:val="24"/>
                <w:lang w:eastAsia="en-GB"/>
              </w:rPr>
            </w:pPr>
            <w:r w:rsidRPr="00944CAE">
              <w:rPr>
                <w:rFonts w:ascii="Arial" w:eastAsia="Times New Roman" w:hAnsi="Arial" w:cs="Arial"/>
                <w:sz w:val="24"/>
                <w:szCs w:val="24"/>
              </w:rPr>
              <w:object w:dxaOrig="1440" w:dyaOrig="1440" w14:anchorId="23C2DAF9">
                <v:shape id="_x0000_i1467" type="#_x0000_t75" style="width:20.1pt;height:17.6pt" o:ole="">
                  <v:imagedata r:id="rId83" o:title=""/>
                </v:shape>
                <w:control r:id="rId103" w:name="DefaultOcxName46" w:shapeid="_x0000_i1467"/>
              </w:object>
            </w:r>
          </w:p>
        </w:tc>
        <w:tc>
          <w:tcPr>
            <w:tcW w:w="1600" w:type="dxa"/>
            <w:tcBorders>
              <w:top w:val="single" w:sz="6" w:space="0" w:color="DDDDDD"/>
            </w:tcBorders>
            <w:shd w:val="clear" w:color="auto" w:fill="auto"/>
            <w:tcMar>
              <w:top w:w="168" w:type="dxa"/>
              <w:left w:w="120" w:type="dxa"/>
              <w:bottom w:w="192" w:type="dxa"/>
              <w:right w:w="120" w:type="dxa"/>
            </w:tcMar>
            <w:vAlign w:val="center"/>
            <w:hideMark/>
          </w:tcPr>
          <w:p w:rsidR="003B3C4F" w:rsidRPr="00944CAE" w:rsidRDefault="003B3C4F" w:rsidP="003B3C4F">
            <w:pPr>
              <w:spacing w:after="0" w:line="312" w:lineRule="atLeast"/>
              <w:rPr>
                <w:rFonts w:ascii="Arial" w:eastAsia="Times New Roman" w:hAnsi="Arial" w:cs="Arial"/>
                <w:sz w:val="24"/>
                <w:szCs w:val="24"/>
                <w:lang w:eastAsia="en-GB"/>
              </w:rPr>
            </w:pPr>
            <w:r w:rsidRPr="00944CAE">
              <w:rPr>
                <w:rFonts w:ascii="Arial" w:eastAsia="Times New Roman" w:hAnsi="Arial" w:cs="Arial"/>
                <w:sz w:val="24"/>
                <w:szCs w:val="24"/>
              </w:rPr>
              <w:object w:dxaOrig="1440" w:dyaOrig="1440" w14:anchorId="12358D67">
                <v:shape id="_x0000_i1470" type="#_x0000_t75" style="width:20.1pt;height:17.6pt" o:ole="">
                  <v:imagedata r:id="rId83" o:title=""/>
                </v:shape>
                <w:control r:id="rId104" w:name="DefaultOcxName47" w:shapeid="_x0000_i1470"/>
              </w:object>
            </w:r>
          </w:p>
        </w:tc>
        <w:tc>
          <w:tcPr>
            <w:tcW w:w="0" w:type="auto"/>
            <w:tcBorders>
              <w:top w:val="single" w:sz="6" w:space="0" w:color="DDDDDD"/>
            </w:tcBorders>
            <w:shd w:val="clear" w:color="auto" w:fill="auto"/>
            <w:tcMar>
              <w:top w:w="168" w:type="dxa"/>
              <w:left w:w="120" w:type="dxa"/>
              <w:bottom w:w="192" w:type="dxa"/>
              <w:right w:w="120" w:type="dxa"/>
            </w:tcMar>
            <w:vAlign w:val="center"/>
            <w:hideMark/>
          </w:tcPr>
          <w:p w:rsidR="003B3C4F" w:rsidRPr="00944CAE" w:rsidRDefault="003B3C4F" w:rsidP="003B3C4F">
            <w:pPr>
              <w:spacing w:after="0" w:line="312" w:lineRule="atLeast"/>
              <w:rPr>
                <w:rFonts w:ascii="Arial" w:eastAsia="Times New Roman" w:hAnsi="Arial" w:cs="Arial"/>
                <w:sz w:val="24"/>
                <w:szCs w:val="24"/>
                <w:lang w:eastAsia="en-GB"/>
              </w:rPr>
            </w:pPr>
            <w:r w:rsidRPr="00944CAE">
              <w:rPr>
                <w:rFonts w:ascii="Arial" w:eastAsia="Times New Roman" w:hAnsi="Arial" w:cs="Arial"/>
                <w:sz w:val="24"/>
                <w:szCs w:val="24"/>
              </w:rPr>
              <w:object w:dxaOrig="1440" w:dyaOrig="1440" w14:anchorId="6E8D4631">
                <v:shape id="_x0000_i1473" type="#_x0000_t75" style="width:20.1pt;height:17.6pt" o:ole="">
                  <v:imagedata r:id="rId86" o:title=""/>
                </v:shape>
                <w:control r:id="rId105" w:name="DefaultOcxName48" w:shapeid="_x0000_i1473"/>
              </w:object>
            </w:r>
          </w:p>
        </w:tc>
        <w:tc>
          <w:tcPr>
            <w:tcW w:w="0" w:type="auto"/>
            <w:tcBorders>
              <w:top w:val="single" w:sz="6" w:space="0" w:color="DDDDDD"/>
            </w:tcBorders>
            <w:shd w:val="clear" w:color="auto" w:fill="auto"/>
            <w:tcMar>
              <w:top w:w="168" w:type="dxa"/>
              <w:left w:w="120" w:type="dxa"/>
              <w:bottom w:w="192" w:type="dxa"/>
              <w:right w:w="120" w:type="dxa"/>
            </w:tcMar>
            <w:vAlign w:val="center"/>
            <w:hideMark/>
          </w:tcPr>
          <w:p w:rsidR="003B3C4F" w:rsidRPr="00944CAE" w:rsidRDefault="003B3C4F" w:rsidP="003B3C4F">
            <w:pPr>
              <w:spacing w:after="0" w:line="312" w:lineRule="atLeast"/>
              <w:rPr>
                <w:rFonts w:ascii="Arial" w:eastAsia="Times New Roman" w:hAnsi="Arial" w:cs="Arial"/>
                <w:sz w:val="24"/>
                <w:szCs w:val="24"/>
                <w:lang w:eastAsia="en-GB"/>
              </w:rPr>
            </w:pPr>
            <w:r w:rsidRPr="00944CAE">
              <w:rPr>
                <w:rFonts w:ascii="Arial" w:eastAsia="Times New Roman" w:hAnsi="Arial" w:cs="Arial"/>
                <w:sz w:val="24"/>
                <w:szCs w:val="24"/>
              </w:rPr>
              <w:object w:dxaOrig="1440" w:dyaOrig="1440" w14:anchorId="7E282A15">
                <v:shape id="_x0000_i1476" type="#_x0000_t75" style="width:20.1pt;height:17.6pt" o:ole="">
                  <v:imagedata r:id="rId86" o:title=""/>
                </v:shape>
                <w:control r:id="rId106" w:name="DefaultOcxName49" w:shapeid="_x0000_i1476"/>
              </w:object>
            </w:r>
          </w:p>
        </w:tc>
        <w:tc>
          <w:tcPr>
            <w:tcW w:w="0" w:type="auto"/>
            <w:tcBorders>
              <w:top w:val="single" w:sz="6" w:space="0" w:color="DDDDDD"/>
            </w:tcBorders>
            <w:shd w:val="clear" w:color="auto" w:fill="auto"/>
            <w:tcMar>
              <w:top w:w="168" w:type="dxa"/>
              <w:left w:w="120" w:type="dxa"/>
              <w:bottom w:w="192" w:type="dxa"/>
              <w:right w:w="120" w:type="dxa"/>
            </w:tcMar>
            <w:vAlign w:val="center"/>
            <w:hideMark/>
          </w:tcPr>
          <w:p w:rsidR="003B3C4F" w:rsidRPr="00944CAE" w:rsidRDefault="003B3C4F" w:rsidP="003B3C4F">
            <w:pPr>
              <w:spacing w:after="0" w:line="312" w:lineRule="atLeast"/>
              <w:rPr>
                <w:rFonts w:ascii="Arial" w:eastAsia="Times New Roman" w:hAnsi="Arial" w:cs="Arial"/>
                <w:sz w:val="24"/>
                <w:szCs w:val="24"/>
                <w:lang w:eastAsia="en-GB"/>
              </w:rPr>
            </w:pPr>
            <w:r w:rsidRPr="00944CAE">
              <w:rPr>
                <w:rFonts w:ascii="Arial" w:eastAsia="Times New Roman" w:hAnsi="Arial" w:cs="Arial"/>
                <w:sz w:val="24"/>
                <w:szCs w:val="24"/>
              </w:rPr>
              <w:object w:dxaOrig="1440" w:dyaOrig="1440" w14:anchorId="223CC0E4">
                <v:shape id="_x0000_i1479" type="#_x0000_t75" style="width:20.1pt;height:17.6pt" o:ole="">
                  <v:imagedata r:id="rId86" o:title=""/>
                </v:shape>
                <w:control r:id="rId107" w:name="DefaultOcxName50" w:shapeid="_x0000_i1479"/>
              </w:object>
            </w:r>
          </w:p>
        </w:tc>
        <w:tc>
          <w:tcPr>
            <w:tcW w:w="0" w:type="auto"/>
            <w:tcBorders>
              <w:top w:val="single" w:sz="6" w:space="0" w:color="DDDDDD"/>
            </w:tcBorders>
            <w:shd w:val="clear" w:color="auto" w:fill="auto"/>
            <w:tcMar>
              <w:top w:w="168" w:type="dxa"/>
              <w:left w:w="120" w:type="dxa"/>
              <w:bottom w:w="192" w:type="dxa"/>
              <w:right w:w="120" w:type="dxa"/>
            </w:tcMar>
            <w:vAlign w:val="center"/>
            <w:hideMark/>
          </w:tcPr>
          <w:p w:rsidR="003B3C4F" w:rsidRPr="00944CAE" w:rsidRDefault="003B3C4F" w:rsidP="003B3C4F">
            <w:pPr>
              <w:spacing w:after="0" w:line="312" w:lineRule="atLeast"/>
              <w:rPr>
                <w:rFonts w:ascii="Arial" w:eastAsia="Times New Roman" w:hAnsi="Arial" w:cs="Arial"/>
                <w:sz w:val="24"/>
                <w:szCs w:val="24"/>
                <w:lang w:eastAsia="en-GB"/>
              </w:rPr>
            </w:pPr>
            <w:r w:rsidRPr="00944CAE">
              <w:rPr>
                <w:rFonts w:ascii="Arial" w:eastAsia="Times New Roman" w:hAnsi="Arial" w:cs="Arial"/>
                <w:sz w:val="24"/>
                <w:szCs w:val="24"/>
              </w:rPr>
              <w:object w:dxaOrig="1440" w:dyaOrig="1440" w14:anchorId="7C422F71">
                <v:shape id="_x0000_i1482" type="#_x0000_t75" style="width:20.1pt;height:17.6pt" o:ole="">
                  <v:imagedata r:id="rId86" o:title=""/>
                </v:shape>
                <w:control r:id="rId108" w:name="DefaultOcxName511" w:shapeid="_x0000_i1482"/>
              </w:object>
            </w:r>
          </w:p>
        </w:tc>
      </w:tr>
      <w:tr w:rsidR="003B3C4F" w:rsidRPr="00944CAE" w:rsidTr="00043B31">
        <w:trPr>
          <w:trHeight w:val="635"/>
        </w:trPr>
        <w:tc>
          <w:tcPr>
            <w:tcW w:w="1708" w:type="dxa"/>
            <w:tcBorders>
              <w:top w:val="single" w:sz="6" w:space="0" w:color="DDDDDD"/>
            </w:tcBorders>
            <w:shd w:val="clear" w:color="auto" w:fill="auto"/>
            <w:tcMar>
              <w:top w:w="168" w:type="dxa"/>
              <w:left w:w="240" w:type="dxa"/>
              <w:bottom w:w="192" w:type="dxa"/>
              <w:right w:w="0" w:type="dxa"/>
            </w:tcMar>
            <w:vAlign w:val="center"/>
            <w:hideMark/>
          </w:tcPr>
          <w:p w:rsidR="003B3C4F" w:rsidRPr="00944CAE" w:rsidRDefault="003B3C4F" w:rsidP="003B3C4F">
            <w:pPr>
              <w:spacing w:after="0" w:line="312" w:lineRule="atLeast"/>
              <w:rPr>
                <w:rFonts w:ascii="Arial" w:eastAsia="Times New Roman" w:hAnsi="Arial" w:cs="Arial"/>
                <w:color w:val="666666"/>
                <w:sz w:val="24"/>
                <w:szCs w:val="24"/>
                <w:lang w:eastAsia="en-GB"/>
              </w:rPr>
            </w:pPr>
            <w:r w:rsidRPr="00944CAE">
              <w:rPr>
                <w:rFonts w:ascii="Arial" w:eastAsia="Times New Roman" w:hAnsi="Arial" w:cs="Arial"/>
                <w:color w:val="666666"/>
                <w:sz w:val="24"/>
                <w:szCs w:val="24"/>
                <w:lang w:eastAsia="en-GB"/>
              </w:rPr>
              <w:t>Additional 15 hours of childcare</w:t>
            </w:r>
          </w:p>
        </w:tc>
        <w:tc>
          <w:tcPr>
            <w:tcW w:w="1125" w:type="dxa"/>
            <w:tcBorders>
              <w:top w:val="single" w:sz="6" w:space="0" w:color="DDDDDD"/>
            </w:tcBorders>
            <w:shd w:val="clear" w:color="auto" w:fill="auto"/>
            <w:tcMar>
              <w:top w:w="168" w:type="dxa"/>
              <w:left w:w="120" w:type="dxa"/>
              <w:bottom w:w="192" w:type="dxa"/>
              <w:right w:w="120" w:type="dxa"/>
            </w:tcMar>
            <w:vAlign w:val="center"/>
            <w:hideMark/>
          </w:tcPr>
          <w:p w:rsidR="003B3C4F" w:rsidRPr="00944CAE" w:rsidRDefault="003B3C4F" w:rsidP="003B3C4F">
            <w:pPr>
              <w:spacing w:after="0" w:line="312" w:lineRule="atLeast"/>
              <w:rPr>
                <w:rFonts w:ascii="Arial" w:eastAsia="Times New Roman" w:hAnsi="Arial" w:cs="Arial"/>
                <w:sz w:val="24"/>
                <w:szCs w:val="24"/>
                <w:lang w:eastAsia="en-GB"/>
              </w:rPr>
            </w:pPr>
            <w:r w:rsidRPr="00944CAE">
              <w:rPr>
                <w:rFonts w:ascii="Arial" w:eastAsia="Times New Roman" w:hAnsi="Arial" w:cs="Arial"/>
                <w:sz w:val="24"/>
                <w:szCs w:val="24"/>
              </w:rPr>
              <w:object w:dxaOrig="1440" w:dyaOrig="1440" w14:anchorId="476B4AA9">
                <v:shape id="_x0000_i1485" type="#_x0000_t75" style="width:20.1pt;height:17.6pt" o:ole="">
                  <v:imagedata r:id="rId83" o:title=""/>
                </v:shape>
                <w:control r:id="rId109" w:name="DefaultOcxName521" w:shapeid="_x0000_i1485"/>
              </w:object>
            </w:r>
          </w:p>
        </w:tc>
        <w:tc>
          <w:tcPr>
            <w:tcW w:w="1600" w:type="dxa"/>
            <w:tcBorders>
              <w:top w:val="single" w:sz="6" w:space="0" w:color="DDDDDD"/>
            </w:tcBorders>
            <w:shd w:val="clear" w:color="auto" w:fill="auto"/>
            <w:tcMar>
              <w:top w:w="168" w:type="dxa"/>
              <w:left w:w="120" w:type="dxa"/>
              <w:bottom w:w="192" w:type="dxa"/>
              <w:right w:w="120" w:type="dxa"/>
            </w:tcMar>
            <w:vAlign w:val="center"/>
            <w:hideMark/>
          </w:tcPr>
          <w:p w:rsidR="003B3C4F" w:rsidRPr="00944CAE" w:rsidRDefault="003B3C4F" w:rsidP="003B3C4F">
            <w:pPr>
              <w:spacing w:after="0" w:line="312" w:lineRule="atLeast"/>
              <w:rPr>
                <w:rFonts w:ascii="Arial" w:eastAsia="Times New Roman" w:hAnsi="Arial" w:cs="Arial"/>
                <w:sz w:val="24"/>
                <w:szCs w:val="24"/>
                <w:lang w:eastAsia="en-GB"/>
              </w:rPr>
            </w:pPr>
            <w:r w:rsidRPr="00944CAE">
              <w:rPr>
                <w:rFonts w:ascii="Arial" w:eastAsia="Times New Roman" w:hAnsi="Arial" w:cs="Arial"/>
                <w:sz w:val="24"/>
                <w:szCs w:val="24"/>
              </w:rPr>
              <w:object w:dxaOrig="1440" w:dyaOrig="1440" w14:anchorId="4B685F9F">
                <v:shape id="_x0000_i1488" type="#_x0000_t75" style="width:20.1pt;height:17.6pt" o:ole="">
                  <v:imagedata r:id="rId83" o:title=""/>
                </v:shape>
                <w:control r:id="rId110" w:name="DefaultOcxName53" w:shapeid="_x0000_i1488"/>
              </w:object>
            </w:r>
          </w:p>
        </w:tc>
        <w:tc>
          <w:tcPr>
            <w:tcW w:w="0" w:type="auto"/>
            <w:tcBorders>
              <w:top w:val="single" w:sz="6" w:space="0" w:color="DDDDDD"/>
            </w:tcBorders>
            <w:shd w:val="clear" w:color="auto" w:fill="auto"/>
            <w:tcMar>
              <w:top w:w="168" w:type="dxa"/>
              <w:left w:w="120" w:type="dxa"/>
              <w:bottom w:w="192" w:type="dxa"/>
              <w:right w:w="120" w:type="dxa"/>
            </w:tcMar>
            <w:vAlign w:val="center"/>
            <w:hideMark/>
          </w:tcPr>
          <w:p w:rsidR="003B3C4F" w:rsidRPr="00944CAE" w:rsidRDefault="003B3C4F" w:rsidP="003B3C4F">
            <w:pPr>
              <w:spacing w:after="0" w:line="312" w:lineRule="atLeast"/>
              <w:rPr>
                <w:rFonts w:ascii="Arial" w:eastAsia="Times New Roman" w:hAnsi="Arial" w:cs="Arial"/>
                <w:sz w:val="24"/>
                <w:szCs w:val="24"/>
                <w:lang w:eastAsia="en-GB"/>
              </w:rPr>
            </w:pPr>
            <w:r w:rsidRPr="00944CAE">
              <w:rPr>
                <w:rFonts w:ascii="Arial" w:eastAsia="Times New Roman" w:hAnsi="Arial" w:cs="Arial"/>
                <w:sz w:val="24"/>
                <w:szCs w:val="24"/>
              </w:rPr>
              <w:object w:dxaOrig="1440" w:dyaOrig="1440" w14:anchorId="289AB539">
                <v:shape id="_x0000_i1491" type="#_x0000_t75" style="width:20.1pt;height:17.6pt" o:ole="">
                  <v:imagedata r:id="rId86" o:title=""/>
                </v:shape>
                <w:control r:id="rId111" w:name="DefaultOcxName54" w:shapeid="_x0000_i1491"/>
              </w:object>
            </w:r>
          </w:p>
        </w:tc>
        <w:tc>
          <w:tcPr>
            <w:tcW w:w="0" w:type="auto"/>
            <w:tcBorders>
              <w:top w:val="single" w:sz="6" w:space="0" w:color="DDDDDD"/>
            </w:tcBorders>
            <w:shd w:val="clear" w:color="auto" w:fill="auto"/>
            <w:tcMar>
              <w:top w:w="168" w:type="dxa"/>
              <w:left w:w="120" w:type="dxa"/>
              <w:bottom w:w="192" w:type="dxa"/>
              <w:right w:w="120" w:type="dxa"/>
            </w:tcMar>
            <w:vAlign w:val="center"/>
            <w:hideMark/>
          </w:tcPr>
          <w:p w:rsidR="003B3C4F" w:rsidRPr="00944CAE" w:rsidRDefault="003B3C4F" w:rsidP="003B3C4F">
            <w:pPr>
              <w:spacing w:after="0" w:line="312" w:lineRule="atLeast"/>
              <w:rPr>
                <w:rFonts w:ascii="Arial" w:eastAsia="Times New Roman" w:hAnsi="Arial" w:cs="Arial"/>
                <w:sz w:val="24"/>
                <w:szCs w:val="24"/>
                <w:lang w:eastAsia="en-GB"/>
              </w:rPr>
            </w:pPr>
            <w:r w:rsidRPr="00944CAE">
              <w:rPr>
                <w:rFonts w:ascii="Arial" w:eastAsia="Times New Roman" w:hAnsi="Arial" w:cs="Arial"/>
                <w:sz w:val="24"/>
                <w:szCs w:val="24"/>
              </w:rPr>
              <w:object w:dxaOrig="1440" w:dyaOrig="1440" w14:anchorId="7582164C">
                <v:shape id="_x0000_i1494" type="#_x0000_t75" style="width:20.1pt;height:17.6pt" o:ole="">
                  <v:imagedata r:id="rId86" o:title=""/>
                </v:shape>
                <w:control r:id="rId112" w:name="DefaultOcxName55" w:shapeid="_x0000_i1494"/>
              </w:object>
            </w:r>
          </w:p>
        </w:tc>
        <w:tc>
          <w:tcPr>
            <w:tcW w:w="0" w:type="auto"/>
            <w:tcBorders>
              <w:top w:val="single" w:sz="6" w:space="0" w:color="DDDDDD"/>
            </w:tcBorders>
            <w:shd w:val="clear" w:color="auto" w:fill="auto"/>
            <w:tcMar>
              <w:top w:w="168" w:type="dxa"/>
              <w:left w:w="120" w:type="dxa"/>
              <w:bottom w:w="192" w:type="dxa"/>
              <w:right w:w="120" w:type="dxa"/>
            </w:tcMar>
            <w:vAlign w:val="center"/>
            <w:hideMark/>
          </w:tcPr>
          <w:p w:rsidR="003B3C4F" w:rsidRPr="00944CAE" w:rsidRDefault="003B3C4F" w:rsidP="003B3C4F">
            <w:pPr>
              <w:spacing w:after="0" w:line="312" w:lineRule="atLeast"/>
              <w:rPr>
                <w:rFonts w:ascii="Arial" w:eastAsia="Times New Roman" w:hAnsi="Arial" w:cs="Arial"/>
                <w:sz w:val="24"/>
                <w:szCs w:val="24"/>
                <w:lang w:eastAsia="en-GB"/>
              </w:rPr>
            </w:pPr>
            <w:r w:rsidRPr="00944CAE">
              <w:rPr>
                <w:rFonts w:ascii="Arial" w:eastAsia="Times New Roman" w:hAnsi="Arial" w:cs="Arial"/>
                <w:sz w:val="24"/>
                <w:szCs w:val="24"/>
              </w:rPr>
              <w:object w:dxaOrig="1440" w:dyaOrig="1440" w14:anchorId="0B48A42E">
                <v:shape id="_x0000_i1497" type="#_x0000_t75" style="width:20.1pt;height:17.6pt" o:ole="">
                  <v:imagedata r:id="rId86" o:title=""/>
                </v:shape>
                <w:control r:id="rId113" w:name="DefaultOcxName56" w:shapeid="_x0000_i1497"/>
              </w:object>
            </w:r>
          </w:p>
        </w:tc>
        <w:tc>
          <w:tcPr>
            <w:tcW w:w="0" w:type="auto"/>
            <w:tcBorders>
              <w:top w:val="single" w:sz="6" w:space="0" w:color="DDDDDD"/>
            </w:tcBorders>
            <w:shd w:val="clear" w:color="auto" w:fill="auto"/>
            <w:tcMar>
              <w:top w:w="168" w:type="dxa"/>
              <w:left w:w="120" w:type="dxa"/>
              <w:bottom w:w="192" w:type="dxa"/>
              <w:right w:w="120" w:type="dxa"/>
            </w:tcMar>
            <w:vAlign w:val="center"/>
            <w:hideMark/>
          </w:tcPr>
          <w:p w:rsidR="003B3C4F" w:rsidRPr="00944CAE" w:rsidRDefault="003B3C4F" w:rsidP="003B3C4F">
            <w:pPr>
              <w:spacing w:after="0" w:line="312" w:lineRule="atLeast"/>
              <w:rPr>
                <w:rFonts w:ascii="Arial" w:eastAsia="Times New Roman" w:hAnsi="Arial" w:cs="Arial"/>
                <w:sz w:val="24"/>
                <w:szCs w:val="24"/>
                <w:lang w:eastAsia="en-GB"/>
              </w:rPr>
            </w:pPr>
            <w:r w:rsidRPr="00944CAE">
              <w:rPr>
                <w:rFonts w:ascii="Arial" w:eastAsia="Times New Roman" w:hAnsi="Arial" w:cs="Arial"/>
                <w:sz w:val="24"/>
                <w:szCs w:val="24"/>
              </w:rPr>
              <w:object w:dxaOrig="1440" w:dyaOrig="1440" w14:anchorId="6D5FBC3F">
                <v:shape id="_x0000_i1500" type="#_x0000_t75" style="width:20.1pt;height:17.6pt" o:ole="">
                  <v:imagedata r:id="rId86" o:title=""/>
                </v:shape>
                <w:control r:id="rId114" w:name="DefaultOcxName57" w:shapeid="_x0000_i1500"/>
              </w:object>
            </w:r>
          </w:p>
        </w:tc>
      </w:tr>
    </w:tbl>
    <w:p w:rsidR="003B3C4F" w:rsidRPr="00944CAE" w:rsidRDefault="003B3C4F" w:rsidP="003B3C4F">
      <w:pPr>
        <w:spacing w:after="0" w:line="240" w:lineRule="auto"/>
        <w:rPr>
          <w:rFonts w:ascii="Arial" w:eastAsia="Times New Roman" w:hAnsi="Arial" w:cs="Arial"/>
          <w:b/>
          <w:lang w:eastAsia="en-GB"/>
        </w:rPr>
      </w:pPr>
      <w:r w:rsidRPr="00944CAE">
        <w:rPr>
          <w:rFonts w:ascii="Arial" w:eastAsia="Times New Roman" w:hAnsi="Arial" w:cs="Arial"/>
          <w:b/>
          <w:bCs/>
          <w:lang w:eastAsia="en-GB"/>
        </w:rPr>
        <w:t>25</w:t>
      </w:r>
      <w:r w:rsidR="0000694D" w:rsidRPr="00944CAE">
        <w:rPr>
          <w:rFonts w:ascii="Arial" w:eastAsia="Times New Roman" w:hAnsi="Arial" w:cs="Arial"/>
          <w:b/>
          <w:bCs/>
          <w:lang w:eastAsia="en-GB"/>
        </w:rPr>
        <w:t xml:space="preserve"> </w:t>
      </w:r>
      <w:r w:rsidRPr="00944CAE">
        <w:rPr>
          <w:rFonts w:ascii="Arial" w:eastAsia="Times New Roman" w:hAnsi="Arial" w:cs="Arial"/>
          <w:b/>
          <w:lang w:eastAsia="en-GB"/>
        </w:rPr>
        <w:t>If you agree that efficiency (efficient business practices that provide excellent value for money) should be included in the set of supplements, do you have a suggestion of how should it be designed?</w:t>
      </w:r>
    </w:p>
    <w:p w:rsidR="0000694D" w:rsidRPr="00944CAE" w:rsidRDefault="0000694D" w:rsidP="003B3C4F">
      <w:pPr>
        <w:spacing w:after="0" w:line="240" w:lineRule="auto"/>
        <w:rPr>
          <w:rFonts w:ascii="Arial" w:eastAsia="Times New Roman" w:hAnsi="Arial" w:cs="Arial"/>
          <w:sz w:val="24"/>
          <w:szCs w:val="24"/>
          <w:lang w:eastAsia="en-GB"/>
        </w:rPr>
      </w:pPr>
    </w:p>
    <w:p w:rsidR="003B3C4F" w:rsidRPr="00944CAE" w:rsidRDefault="003B3C4F" w:rsidP="003B3C4F">
      <w:pPr>
        <w:spacing w:after="0" w:line="240" w:lineRule="auto"/>
        <w:rPr>
          <w:rFonts w:ascii="Arial" w:eastAsia="Times New Roman" w:hAnsi="Arial" w:cs="Arial"/>
          <w:bCs/>
          <w:lang w:eastAsia="en-GB"/>
        </w:rPr>
      </w:pPr>
      <w:r w:rsidRPr="00944CAE">
        <w:rPr>
          <w:rFonts w:ascii="Arial" w:eastAsia="Times New Roman" w:hAnsi="Arial" w:cs="Arial"/>
          <w:bCs/>
          <w:lang w:eastAsia="en-GB"/>
        </w:rPr>
        <w:t>Our research has found that there are some opportunities for increasing efficiency within the childcare market, for example, through mergers of small providers in order to make savings on back office costs.</w:t>
      </w:r>
      <w:r w:rsidR="00B371F3" w:rsidRPr="00944CAE">
        <w:rPr>
          <w:rStyle w:val="FootnoteReference"/>
          <w:rFonts w:ascii="Arial" w:eastAsia="Times New Roman" w:hAnsi="Arial" w:cs="Arial"/>
          <w:bCs/>
          <w:lang w:eastAsia="en-GB"/>
        </w:rPr>
        <w:footnoteReference w:id="4"/>
      </w:r>
      <w:r w:rsidRPr="00944CAE">
        <w:rPr>
          <w:rFonts w:ascii="Arial" w:eastAsia="Times New Roman" w:hAnsi="Arial" w:cs="Arial"/>
          <w:bCs/>
          <w:lang w:eastAsia="en-GB"/>
        </w:rPr>
        <w:t xml:space="preserve"> However, it should be noted that opportunities for efficiencies are limited. </w:t>
      </w:r>
      <w:r w:rsidR="008F5161" w:rsidRPr="00944CAE">
        <w:rPr>
          <w:rFonts w:ascii="Arial" w:eastAsia="Times New Roman" w:hAnsi="Arial" w:cs="Arial"/>
          <w:bCs/>
          <w:lang w:eastAsia="en-GB"/>
        </w:rPr>
        <w:t>Some nurseries implement ratios below the statutory limit. While this may be a result of inefficient practices in a minority of settings, the majority have developed their business model of what works for them and the parents that use their services</w:t>
      </w:r>
      <w:r w:rsidR="00970B97" w:rsidRPr="00944CAE">
        <w:rPr>
          <w:rFonts w:ascii="Arial" w:eastAsia="Times New Roman" w:hAnsi="Arial" w:cs="Arial"/>
          <w:bCs/>
          <w:lang w:eastAsia="en-GB"/>
        </w:rPr>
        <w:t>, taking into account the characteristics of the setting such as the physical environment, the experience and training of staff and the needs of individual children</w:t>
      </w:r>
      <w:r w:rsidR="008F5161" w:rsidRPr="00944CAE">
        <w:rPr>
          <w:rFonts w:ascii="Arial" w:eastAsia="Times New Roman" w:hAnsi="Arial" w:cs="Arial"/>
          <w:bCs/>
          <w:lang w:eastAsia="en-GB"/>
        </w:rPr>
        <w:t xml:space="preserve">. We would urge caution in assuming that there were efficiencies that could </w:t>
      </w:r>
      <w:r w:rsidR="00B371F3" w:rsidRPr="00944CAE">
        <w:rPr>
          <w:rFonts w:ascii="Arial" w:eastAsia="Times New Roman" w:hAnsi="Arial" w:cs="Arial"/>
          <w:bCs/>
          <w:lang w:eastAsia="en-GB"/>
        </w:rPr>
        <w:t>be gained from increasing ratio</w:t>
      </w:r>
      <w:r w:rsidR="008F5161" w:rsidRPr="00944CAE">
        <w:rPr>
          <w:rFonts w:ascii="Arial" w:eastAsia="Times New Roman" w:hAnsi="Arial" w:cs="Arial"/>
          <w:bCs/>
          <w:lang w:eastAsia="en-GB"/>
        </w:rPr>
        <w:t>s.</w:t>
      </w:r>
    </w:p>
    <w:p w:rsidR="003B3C4F" w:rsidRPr="00944CAE" w:rsidRDefault="003B3C4F" w:rsidP="003B3C4F">
      <w:pPr>
        <w:spacing w:after="0" w:line="240" w:lineRule="auto"/>
        <w:rPr>
          <w:rFonts w:ascii="Arial" w:eastAsia="Times New Roman" w:hAnsi="Arial" w:cs="Arial"/>
          <w:bCs/>
          <w:lang w:eastAsia="en-GB"/>
        </w:rPr>
      </w:pPr>
    </w:p>
    <w:p w:rsidR="003B3C4F" w:rsidRPr="00944CAE" w:rsidRDefault="003B3C4F" w:rsidP="003B3C4F">
      <w:pPr>
        <w:spacing w:after="0" w:line="240" w:lineRule="auto"/>
        <w:rPr>
          <w:rFonts w:ascii="Arial" w:eastAsia="Times New Roman" w:hAnsi="Arial" w:cs="Arial"/>
          <w:bCs/>
          <w:lang w:eastAsia="en-GB"/>
        </w:rPr>
      </w:pPr>
      <w:r w:rsidRPr="00944CAE">
        <w:rPr>
          <w:rFonts w:ascii="Arial" w:eastAsia="Times New Roman" w:hAnsi="Arial" w:cs="Arial"/>
          <w:bCs/>
          <w:lang w:eastAsia="en-GB"/>
        </w:rPr>
        <w:t xml:space="preserve">Increasing efficiency could require one-off expenditure such as the costs involved in a merger. Additional funding to support providers to make these changes would be welcome and helpful to the childcare market. A supplement to the hourly rate would do little to support efficiency. The costs to increase efficiency are likely to be upfront costs, and once the changes have been made, we would expect to see running costs decrease. Given that many childcare providers operate with very tight profit margins, they are unlikely to be able to make an upfront investment even if they know that it will bring savings and/or a higher hourly </w:t>
      </w:r>
      <w:r w:rsidRPr="00944CAE">
        <w:rPr>
          <w:rFonts w:ascii="Arial" w:eastAsia="Times New Roman" w:hAnsi="Arial" w:cs="Arial"/>
          <w:bCs/>
          <w:lang w:eastAsia="en-GB"/>
        </w:rPr>
        <w:lastRenderedPageBreak/>
        <w:t>rate further down the line. Funding to improve efficiency should come from additional funding to support market development rather than a supplement to hourly rates.</w:t>
      </w:r>
      <w:r w:rsidR="008F5161" w:rsidRPr="00944CAE">
        <w:rPr>
          <w:rFonts w:ascii="Arial" w:eastAsia="Times New Roman" w:hAnsi="Arial" w:cs="Arial"/>
          <w:bCs/>
          <w:lang w:eastAsia="en-GB"/>
        </w:rPr>
        <w:t xml:space="preserve"> </w:t>
      </w:r>
    </w:p>
    <w:p w:rsidR="008F5161" w:rsidRPr="00944CAE" w:rsidRDefault="008F5161" w:rsidP="003B3C4F">
      <w:pPr>
        <w:spacing w:after="0" w:line="240" w:lineRule="auto"/>
        <w:rPr>
          <w:rFonts w:ascii="Arial" w:eastAsia="Times New Roman" w:hAnsi="Arial" w:cs="Arial"/>
          <w:bCs/>
          <w:lang w:eastAsia="en-GB"/>
        </w:rPr>
      </w:pPr>
    </w:p>
    <w:p w:rsidR="008F5161" w:rsidRPr="00944CAE" w:rsidRDefault="008F5161" w:rsidP="003B3C4F">
      <w:pPr>
        <w:spacing w:after="0" w:line="240" w:lineRule="auto"/>
        <w:rPr>
          <w:rFonts w:ascii="Arial" w:eastAsia="Times New Roman" w:hAnsi="Arial" w:cs="Arial"/>
          <w:bCs/>
          <w:lang w:eastAsia="en-GB"/>
        </w:rPr>
      </w:pPr>
      <w:r w:rsidRPr="00944CAE">
        <w:rPr>
          <w:rFonts w:ascii="Arial" w:eastAsia="Times New Roman" w:hAnsi="Arial" w:cs="Arial"/>
          <w:bCs/>
          <w:lang w:eastAsia="en-GB"/>
        </w:rPr>
        <w:t xml:space="preserve">There is also the opportunity to support efficiency through </w:t>
      </w:r>
      <w:r w:rsidR="00B371F3" w:rsidRPr="00944CAE">
        <w:rPr>
          <w:rFonts w:ascii="Arial" w:eastAsia="Times New Roman" w:hAnsi="Arial" w:cs="Arial"/>
          <w:bCs/>
          <w:lang w:eastAsia="en-GB"/>
        </w:rPr>
        <w:t>delivering</w:t>
      </w:r>
      <w:r w:rsidRPr="00944CAE">
        <w:rPr>
          <w:rFonts w:ascii="Arial" w:eastAsia="Times New Roman" w:hAnsi="Arial" w:cs="Arial"/>
          <w:bCs/>
          <w:lang w:eastAsia="en-GB"/>
        </w:rPr>
        <w:t xml:space="preserve"> business support to providers. Providers, particularly smaller settings and childminders, may benefit from support in running a small business. </w:t>
      </w:r>
      <w:r w:rsidR="00B371F3" w:rsidRPr="00944CAE">
        <w:rPr>
          <w:rFonts w:ascii="Arial" w:eastAsia="Times New Roman" w:hAnsi="Arial" w:cs="Arial"/>
          <w:bCs/>
          <w:lang w:eastAsia="en-GB"/>
        </w:rPr>
        <w:t>Delivering</w:t>
      </w:r>
      <w:r w:rsidRPr="00944CAE">
        <w:rPr>
          <w:rFonts w:ascii="Arial" w:eastAsia="Times New Roman" w:hAnsi="Arial" w:cs="Arial"/>
          <w:bCs/>
          <w:lang w:eastAsia="en-GB"/>
        </w:rPr>
        <w:t xml:space="preserve"> this support could be particularly crucial in helping t</w:t>
      </w:r>
      <w:r w:rsidR="00B371F3" w:rsidRPr="00944CAE">
        <w:rPr>
          <w:rFonts w:ascii="Arial" w:eastAsia="Times New Roman" w:hAnsi="Arial" w:cs="Arial"/>
          <w:bCs/>
          <w:lang w:eastAsia="en-GB"/>
        </w:rPr>
        <w:t>o</w:t>
      </w:r>
      <w:r w:rsidRPr="00944CAE">
        <w:rPr>
          <w:rFonts w:ascii="Arial" w:eastAsia="Times New Roman" w:hAnsi="Arial" w:cs="Arial"/>
          <w:bCs/>
          <w:lang w:eastAsia="en-GB"/>
        </w:rPr>
        <w:t xml:space="preserve"> nurture the childminder market and reverse the decline in numbers.</w:t>
      </w:r>
      <w:r w:rsidR="00B371F3" w:rsidRPr="00944CAE">
        <w:rPr>
          <w:rFonts w:ascii="Arial" w:eastAsia="Times New Roman" w:hAnsi="Arial" w:cs="Arial"/>
          <w:bCs/>
          <w:lang w:eastAsia="en-GB"/>
        </w:rPr>
        <w:t xml:space="preserve"> Childminders are often self employed individuals with little experience of running a business.</w:t>
      </w:r>
      <w:r w:rsidRPr="00944CAE">
        <w:rPr>
          <w:rFonts w:ascii="Arial" w:eastAsia="Times New Roman" w:hAnsi="Arial" w:cs="Arial"/>
          <w:bCs/>
          <w:lang w:eastAsia="en-GB"/>
        </w:rPr>
        <w:t xml:space="preserve"> Local authorities are well placed to provide this support. Given the narrow margins that the smallest providers operate under, paying for this support is likely to act as a barrier to uptake and so we </w:t>
      </w:r>
      <w:r w:rsidR="00EC3DD1" w:rsidRPr="00944CAE">
        <w:rPr>
          <w:rFonts w:ascii="Arial" w:eastAsia="Times New Roman" w:hAnsi="Arial" w:cs="Arial"/>
          <w:bCs/>
          <w:lang w:eastAsia="en-GB"/>
        </w:rPr>
        <w:t>would urge it to be provided free at the point of use without counting as money held back by local authorities.</w:t>
      </w:r>
    </w:p>
    <w:p w:rsidR="003B3C4F" w:rsidRPr="00944CAE" w:rsidRDefault="003B3C4F" w:rsidP="003B3C4F">
      <w:pPr>
        <w:spacing w:after="0" w:line="240" w:lineRule="auto"/>
        <w:rPr>
          <w:rFonts w:ascii="Arial" w:eastAsia="Times New Roman" w:hAnsi="Arial" w:cs="Arial"/>
          <w:b/>
          <w:bCs/>
          <w:color w:val="444444"/>
          <w:lang w:eastAsia="en-GB"/>
        </w:rPr>
      </w:pPr>
    </w:p>
    <w:p w:rsidR="003B3C4F" w:rsidRPr="00944CAE" w:rsidRDefault="003B3C4F" w:rsidP="003B3C4F">
      <w:pPr>
        <w:spacing w:after="0" w:line="240" w:lineRule="auto"/>
        <w:rPr>
          <w:rFonts w:ascii="Arial" w:eastAsia="Times New Roman" w:hAnsi="Arial" w:cs="Arial"/>
          <w:b/>
          <w:lang w:eastAsia="en-GB"/>
        </w:rPr>
      </w:pPr>
      <w:r w:rsidRPr="00944CAE">
        <w:rPr>
          <w:rFonts w:ascii="Arial" w:eastAsia="Times New Roman" w:hAnsi="Arial" w:cs="Arial"/>
          <w:b/>
          <w:bCs/>
          <w:lang w:eastAsia="en-GB"/>
        </w:rPr>
        <w:t>26</w:t>
      </w:r>
      <w:r w:rsidR="0000694D" w:rsidRPr="00944CAE">
        <w:rPr>
          <w:rFonts w:ascii="Arial" w:eastAsia="Times New Roman" w:hAnsi="Arial" w:cs="Arial"/>
          <w:b/>
          <w:bCs/>
          <w:lang w:eastAsia="en-GB"/>
        </w:rPr>
        <w:t xml:space="preserve"> </w:t>
      </w:r>
      <w:r w:rsidRPr="00944CAE">
        <w:rPr>
          <w:rFonts w:ascii="Arial" w:eastAsia="Times New Roman" w:hAnsi="Arial" w:cs="Arial"/>
          <w:b/>
          <w:lang w:eastAsia="en-GB"/>
        </w:rPr>
        <w:t>If you agree the delivery of the additional 15 hours of free childcare should be included in the set of supplements, do you have a suggestion of how should it be designed?</w:t>
      </w:r>
    </w:p>
    <w:p w:rsidR="0000694D" w:rsidRPr="00944CAE" w:rsidRDefault="0000694D" w:rsidP="003B3C4F">
      <w:pPr>
        <w:spacing w:after="0" w:line="240" w:lineRule="auto"/>
        <w:rPr>
          <w:rFonts w:ascii="Arial" w:eastAsia="Times New Roman" w:hAnsi="Arial" w:cs="Arial"/>
          <w:color w:val="000000"/>
          <w:lang w:eastAsia="en-GB"/>
        </w:rPr>
      </w:pPr>
    </w:p>
    <w:p w:rsidR="003B3C4F" w:rsidRPr="00944CAE" w:rsidRDefault="003B3C4F" w:rsidP="003B3C4F">
      <w:pPr>
        <w:spacing w:after="0" w:line="240" w:lineRule="auto"/>
        <w:rPr>
          <w:rFonts w:ascii="Arial" w:eastAsia="Times New Roman" w:hAnsi="Arial" w:cs="Arial"/>
          <w:color w:val="000000"/>
          <w:lang w:eastAsia="en-GB"/>
        </w:rPr>
      </w:pPr>
      <w:r w:rsidRPr="00944CAE">
        <w:rPr>
          <w:rFonts w:ascii="Arial" w:eastAsia="Times New Roman" w:hAnsi="Arial" w:cs="Arial"/>
          <w:color w:val="000000"/>
          <w:lang w:eastAsia="en-GB"/>
        </w:rPr>
        <w:t>As with efficiency, changes that a provider might need to make to be able to provide the additional 15 hours of free childcare are likely to involve one-off expenditure, such as expanding premises to increase capacity. Therefore, it would be more sensible for providers to be able to access additional funding that would help them to expand provision rather than a higher hourly rate if they are offering the full free 30 hours.</w:t>
      </w:r>
    </w:p>
    <w:p w:rsidR="003B3C4F" w:rsidRPr="00944CAE" w:rsidRDefault="003B3C4F" w:rsidP="003B3C4F">
      <w:pPr>
        <w:spacing w:after="0" w:line="240" w:lineRule="auto"/>
        <w:rPr>
          <w:rFonts w:ascii="Arial" w:eastAsia="Times New Roman" w:hAnsi="Arial" w:cs="Arial"/>
          <w:color w:val="000000"/>
          <w:lang w:eastAsia="en-GB"/>
        </w:rPr>
      </w:pPr>
    </w:p>
    <w:p w:rsidR="003B3C4F" w:rsidRPr="00944CAE" w:rsidRDefault="003B3C4F" w:rsidP="003B3C4F">
      <w:pPr>
        <w:spacing w:after="0" w:line="240" w:lineRule="auto"/>
        <w:rPr>
          <w:rFonts w:ascii="Arial" w:eastAsia="Times New Roman" w:hAnsi="Arial" w:cs="Arial"/>
          <w:color w:val="000000"/>
          <w:lang w:eastAsia="en-GB"/>
        </w:rPr>
      </w:pPr>
      <w:r w:rsidRPr="00944CAE">
        <w:rPr>
          <w:rFonts w:ascii="Arial" w:eastAsia="Times New Roman" w:hAnsi="Arial" w:cs="Arial"/>
          <w:color w:val="000000"/>
          <w:lang w:eastAsia="en-GB"/>
        </w:rPr>
        <w:t>There may be calls for a higher hourly rate for the additional 15 hours from providers that have been cross subsidising the free 15 hours from charges for wraparound hours or younger children. We know that this practice is commonplace as the hourly rate</w:t>
      </w:r>
      <w:r w:rsidR="00EC3DD1" w:rsidRPr="00944CAE">
        <w:rPr>
          <w:rFonts w:ascii="Arial" w:eastAsia="Times New Roman" w:hAnsi="Arial" w:cs="Arial"/>
          <w:color w:val="000000"/>
          <w:lang w:eastAsia="en-GB"/>
        </w:rPr>
        <w:t xml:space="preserve"> in some areas</w:t>
      </w:r>
      <w:r w:rsidRPr="00944CAE">
        <w:rPr>
          <w:rFonts w:ascii="Arial" w:eastAsia="Times New Roman" w:hAnsi="Arial" w:cs="Arial"/>
          <w:color w:val="000000"/>
          <w:lang w:eastAsia="en-GB"/>
        </w:rPr>
        <w:t xml:space="preserve"> has not covered providers’ costs for the free entitlement. Going forward, we would want to see an hourly rate that covers costs, therefore making cross subsidisation or a higher hourly rate for the additional 15 hours unnecessary. In order to do this, the government needs to be gathering information on the costs of providing high quality early education and use this information to determine hourly rates across the country.</w:t>
      </w:r>
      <w:r w:rsidR="00D32CEB" w:rsidRPr="00944CAE">
        <w:rPr>
          <w:rFonts w:ascii="Arial" w:eastAsia="Times New Roman" w:hAnsi="Arial" w:cs="Arial"/>
          <w:color w:val="000000"/>
          <w:lang w:eastAsia="en-GB"/>
        </w:rPr>
        <w:t xml:space="preserve"> In the meantime, we would urge the Department to afford local authorities flexibility and share evidence from the early implementers programme to ensure that a supplement for the additional 15 hours is well-designed.</w:t>
      </w:r>
      <w:r w:rsidR="00B177BF" w:rsidRPr="00944CAE">
        <w:rPr>
          <w:rFonts w:ascii="Arial" w:eastAsia="Times New Roman" w:hAnsi="Arial" w:cs="Arial"/>
          <w:color w:val="000000"/>
          <w:lang w:eastAsia="en-GB"/>
        </w:rPr>
        <w:t xml:space="preserve"> It should also take care not to disadvantage providers only offering 15 hours.</w:t>
      </w:r>
    </w:p>
    <w:p w:rsidR="003B3C4F" w:rsidRPr="00944CAE" w:rsidRDefault="003B3C4F" w:rsidP="003B3C4F">
      <w:pPr>
        <w:spacing w:after="0" w:line="240" w:lineRule="auto"/>
        <w:rPr>
          <w:rFonts w:ascii="Arial" w:eastAsia="Times New Roman" w:hAnsi="Arial" w:cs="Arial"/>
          <w:color w:val="000000"/>
          <w:sz w:val="24"/>
          <w:szCs w:val="24"/>
          <w:lang w:eastAsia="en-GB"/>
        </w:rPr>
      </w:pPr>
    </w:p>
    <w:p w:rsidR="003B3C4F" w:rsidRPr="00944CAE" w:rsidRDefault="003B3C4F" w:rsidP="003B3C4F">
      <w:pPr>
        <w:spacing w:after="0" w:line="240" w:lineRule="auto"/>
        <w:rPr>
          <w:rFonts w:ascii="Arial" w:eastAsia="Times New Roman" w:hAnsi="Arial" w:cs="Arial"/>
          <w:b/>
          <w:lang w:eastAsia="en-GB"/>
        </w:rPr>
      </w:pPr>
      <w:r w:rsidRPr="00944CAE">
        <w:rPr>
          <w:rFonts w:ascii="Arial" w:eastAsia="Times New Roman" w:hAnsi="Arial" w:cs="Arial"/>
          <w:b/>
          <w:bCs/>
          <w:lang w:eastAsia="en-GB"/>
        </w:rPr>
        <w:t>27</w:t>
      </w:r>
      <w:r w:rsidR="0000694D" w:rsidRPr="00944CAE">
        <w:rPr>
          <w:rFonts w:ascii="Arial" w:eastAsia="Times New Roman" w:hAnsi="Arial" w:cs="Arial"/>
          <w:b/>
          <w:bCs/>
          <w:lang w:eastAsia="en-GB"/>
        </w:rPr>
        <w:t xml:space="preserve"> </w:t>
      </w:r>
      <w:r w:rsidRPr="00944CAE">
        <w:rPr>
          <w:rFonts w:ascii="Arial" w:eastAsia="Times New Roman" w:hAnsi="Arial" w:cs="Arial"/>
          <w:b/>
          <w:lang w:eastAsia="en-GB"/>
        </w:rPr>
        <w:t>If you think that any additional supplements should be permitted which are not mentioned here, please set out what they are and why you believe they should be included:</w:t>
      </w:r>
    </w:p>
    <w:p w:rsidR="003B3C4F" w:rsidRPr="00944CAE" w:rsidRDefault="003B3C4F" w:rsidP="003B3C4F">
      <w:pPr>
        <w:spacing w:after="0" w:line="240" w:lineRule="auto"/>
        <w:rPr>
          <w:rFonts w:ascii="Arial" w:eastAsia="Times New Roman" w:hAnsi="Arial" w:cs="Arial"/>
          <w:b/>
          <w:lang w:eastAsia="en-GB"/>
        </w:rPr>
      </w:pPr>
    </w:p>
    <w:p w:rsidR="0046454F" w:rsidRPr="00944CAE" w:rsidRDefault="003B3C4F" w:rsidP="003B3C4F">
      <w:pPr>
        <w:spacing w:after="0" w:line="240" w:lineRule="auto"/>
        <w:rPr>
          <w:rFonts w:ascii="Arial" w:eastAsia="Times New Roman" w:hAnsi="Arial" w:cs="Arial"/>
          <w:bCs/>
          <w:lang w:eastAsia="en-GB"/>
        </w:rPr>
      </w:pPr>
      <w:r w:rsidRPr="00944CAE">
        <w:rPr>
          <w:rFonts w:ascii="Arial" w:eastAsia="Times New Roman" w:hAnsi="Arial" w:cs="Arial"/>
          <w:bCs/>
          <w:lang w:eastAsia="en-GB"/>
        </w:rPr>
        <w:t xml:space="preserve">Local authorities should also be able to provide </w:t>
      </w:r>
      <w:r w:rsidR="00B177BF" w:rsidRPr="00944CAE">
        <w:rPr>
          <w:rFonts w:ascii="Arial" w:eastAsia="Times New Roman" w:hAnsi="Arial" w:cs="Arial"/>
          <w:bCs/>
          <w:lang w:eastAsia="en-GB"/>
        </w:rPr>
        <w:t xml:space="preserve">a </w:t>
      </w:r>
      <w:r w:rsidRPr="00944CAE">
        <w:rPr>
          <w:rFonts w:ascii="Arial" w:eastAsia="Times New Roman" w:hAnsi="Arial" w:cs="Arial"/>
          <w:bCs/>
          <w:lang w:eastAsia="en-GB"/>
        </w:rPr>
        <w:t>supplement for graduate leadership. There is extensive evidence of the role that graduate qualifications can play in an early years settings to create a high quality learning environment.</w:t>
      </w:r>
      <w:r w:rsidRPr="00944CAE">
        <w:rPr>
          <w:rStyle w:val="FootnoteReference"/>
          <w:rFonts w:ascii="Arial" w:eastAsia="Times New Roman" w:hAnsi="Arial" w:cs="Arial"/>
          <w:bCs/>
          <w:lang w:eastAsia="en-GB"/>
        </w:rPr>
        <w:footnoteReference w:id="5"/>
      </w:r>
      <w:r w:rsidRPr="00944CAE">
        <w:rPr>
          <w:rFonts w:ascii="Arial" w:eastAsia="Times New Roman" w:hAnsi="Arial" w:cs="Arial"/>
          <w:bCs/>
          <w:lang w:eastAsia="en-GB"/>
        </w:rPr>
        <w:t xml:space="preserve"> In order for every child to benefit from graduate teaching,</w:t>
      </w:r>
      <w:r w:rsidR="00F71126" w:rsidRPr="00944CAE">
        <w:rPr>
          <w:rFonts w:ascii="Arial" w:eastAsia="Times New Roman" w:hAnsi="Arial" w:cs="Arial"/>
          <w:bCs/>
          <w:lang w:eastAsia="en-GB"/>
        </w:rPr>
        <w:t xml:space="preserve"> we estimate that around</w:t>
      </w:r>
      <w:r w:rsidRPr="00944CAE">
        <w:rPr>
          <w:rFonts w:ascii="Arial" w:eastAsia="Times New Roman" w:hAnsi="Arial" w:cs="Arial"/>
          <w:bCs/>
          <w:lang w:eastAsia="en-GB"/>
        </w:rPr>
        <w:t xml:space="preserve"> 35 per cent of the early years workforce would need to hold a relevant graduate qualification, but currently just 13 per cent do.</w:t>
      </w:r>
      <w:r w:rsidRPr="00944CAE">
        <w:rPr>
          <w:rStyle w:val="FootnoteReference"/>
          <w:rFonts w:ascii="Arial" w:eastAsia="Times New Roman" w:hAnsi="Arial" w:cs="Arial"/>
          <w:bCs/>
          <w:lang w:eastAsia="en-GB"/>
        </w:rPr>
        <w:footnoteReference w:id="6"/>
      </w:r>
      <w:r w:rsidRPr="00944CAE">
        <w:rPr>
          <w:rFonts w:ascii="Arial" w:eastAsia="Times New Roman" w:hAnsi="Arial" w:cs="Arial"/>
          <w:bCs/>
          <w:lang w:eastAsia="en-GB"/>
        </w:rPr>
        <w:t xml:space="preserve"> Until we reach this required level, local authorities should be able to use a supplement to encourage </w:t>
      </w:r>
      <w:r w:rsidRPr="00944CAE">
        <w:rPr>
          <w:rFonts w:ascii="Arial" w:eastAsia="Times New Roman" w:hAnsi="Arial" w:cs="Arial"/>
          <w:bCs/>
          <w:lang w:eastAsia="en-GB"/>
        </w:rPr>
        <w:lastRenderedPageBreak/>
        <w:t>graduate leadership.</w:t>
      </w:r>
      <w:r w:rsidR="00EC3DD1" w:rsidRPr="00944CAE">
        <w:rPr>
          <w:rFonts w:ascii="Arial" w:eastAsia="Times New Roman" w:hAnsi="Arial" w:cs="Arial"/>
          <w:bCs/>
          <w:lang w:eastAsia="en-GB"/>
        </w:rPr>
        <w:t xml:space="preserve"> Employing graduate staff acts to increase operating costs for a provider and so necessitates this higher rate</w:t>
      </w:r>
      <w:r w:rsidR="00FF4A3B" w:rsidRPr="00944CAE">
        <w:rPr>
          <w:rFonts w:ascii="Arial" w:eastAsia="Times New Roman" w:hAnsi="Arial" w:cs="Arial"/>
          <w:bCs/>
          <w:lang w:eastAsia="en-GB"/>
        </w:rPr>
        <w:t>, particularly for smaller providers</w:t>
      </w:r>
      <w:r w:rsidR="00EC3DD1" w:rsidRPr="00944CAE">
        <w:rPr>
          <w:rFonts w:ascii="Arial" w:eastAsia="Times New Roman" w:hAnsi="Arial" w:cs="Arial"/>
          <w:bCs/>
          <w:lang w:eastAsia="en-GB"/>
        </w:rPr>
        <w:t>.</w:t>
      </w:r>
      <w:r w:rsidRPr="00944CAE">
        <w:rPr>
          <w:rFonts w:ascii="Arial" w:eastAsia="Times New Roman" w:hAnsi="Arial" w:cs="Arial"/>
          <w:bCs/>
          <w:lang w:eastAsia="en-GB"/>
        </w:rPr>
        <w:t xml:space="preserve"> </w:t>
      </w:r>
      <w:r w:rsidR="006A2A6A" w:rsidRPr="00944CAE">
        <w:rPr>
          <w:rFonts w:ascii="Arial" w:eastAsia="Times New Roman" w:hAnsi="Arial" w:cs="Arial"/>
          <w:bCs/>
          <w:lang w:eastAsia="en-GB"/>
        </w:rPr>
        <w:t xml:space="preserve"> While some larger chains might be</w:t>
      </w:r>
      <w:r w:rsidR="00FF4A3B" w:rsidRPr="00944CAE">
        <w:rPr>
          <w:rFonts w:ascii="Arial" w:eastAsia="Times New Roman" w:hAnsi="Arial" w:cs="Arial"/>
          <w:bCs/>
          <w:lang w:eastAsia="en-GB"/>
        </w:rPr>
        <w:t xml:space="preserve"> able to reduce costs by, for example, utilising higher ratios or lowering administrative costs, </w:t>
      </w:r>
      <w:r w:rsidR="0046454F" w:rsidRPr="00944CAE">
        <w:rPr>
          <w:rFonts w:ascii="Arial" w:eastAsia="Times New Roman" w:hAnsi="Arial" w:cs="Arial"/>
          <w:bCs/>
          <w:lang w:eastAsia="en-GB"/>
        </w:rPr>
        <w:t>smaller providers or those with low margins will find it hardest to train and employ graduates and benefit the most from supplements.</w:t>
      </w:r>
      <w:r w:rsidR="006A2A6A" w:rsidRPr="00944CAE">
        <w:rPr>
          <w:rFonts w:ascii="Arial" w:eastAsia="Times New Roman" w:hAnsi="Arial" w:cs="Arial"/>
          <w:bCs/>
          <w:lang w:eastAsia="en-GB"/>
        </w:rPr>
        <w:t xml:space="preserve"> </w:t>
      </w:r>
    </w:p>
    <w:p w:rsidR="0046454F" w:rsidRPr="00944CAE" w:rsidRDefault="0046454F" w:rsidP="003B3C4F">
      <w:pPr>
        <w:spacing w:after="0" w:line="240" w:lineRule="auto"/>
        <w:rPr>
          <w:rFonts w:ascii="Arial" w:eastAsia="Times New Roman" w:hAnsi="Arial" w:cs="Arial"/>
          <w:bCs/>
          <w:lang w:eastAsia="en-GB"/>
        </w:rPr>
      </w:pPr>
    </w:p>
    <w:p w:rsidR="003B3C4F" w:rsidRPr="00944CAE" w:rsidRDefault="003B3C4F" w:rsidP="003B3C4F">
      <w:pPr>
        <w:spacing w:after="0" w:line="240" w:lineRule="auto"/>
        <w:rPr>
          <w:rFonts w:ascii="Arial" w:eastAsia="Times New Roman" w:hAnsi="Arial" w:cs="Arial"/>
          <w:bCs/>
          <w:lang w:eastAsia="en-GB"/>
        </w:rPr>
      </w:pPr>
      <w:r w:rsidRPr="00944CAE">
        <w:rPr>
          <w:rFonts w:ascii="Arial" w:eastAsia="Times New Roman" w:hAnsi="Arial" w:cs="Arial"/>
          <w:bCs/>
          <w:lang w:eastAsia="en-GB"/>
        </w:rPr>
        <w:t xml:space="preserve">It is worth noting that </w:t>
      </w:r>
      <w:r w:rsidR="0046454F" w:rsidRPr="00944CAE">
        <w:rPr>
          <w:rFonts w:ascii="Arial" w:eastAsia="Times New Roman" w:hAnsi="Arial" w:cs="Arial"/>
          <w:bCs/>
          <w:lang w:eastAsia="en-GB"/>
        </w:rPr>
        <w:t xml:space="preserve">a graduate </w:t>
      </w:r>
      <w:r w:rsidRPr="00944CAE">
        <w:rPr>
          <w:rFonts w:ascii="Arial" w:eastAsia="Times New Roman" w:hAnsi="Arial" w:cs="Arial"/>
          <w:bCs/>
          <w:lang w:eastAsia="en-GB"/>
        </w:rPr>
        <w:t>supplement alone is not enough to bring the required improvements to the early years workforce.</w:t>
      </w:r>
      <w:r w:rsidR="0046454F" w:rsidRPr="00944CAE">
        <w:rPr>
          <w:rFonts w:ascii="Arial" w:eastAsia="Times New Roman" w:hAnsi="Arial" w:cs="Arial"/>
          <w:bCs/>
          <w:lang w:eastAsia="en-GB"/>
        </w:rPr>
        <w:t xml:space="preserve"> The government must commit to making graduate-led care a minimum standard as soon as possible.</w:t>
      </w:r>
      <w:r w:rsidR="00322E76">
        <w:rPr>
          <w:rFonts w:ascii="Arial" w:eastAsia="Times New Roman" w:hAnsi="Arial" w:cs="Arial"/>
          <w:bCs/>
          <w:lang w:eastAsia="en-GB"/>
        </w:rPr>
        <w:t xml:space="preserve"> The</w:t>
      </w:r>
      <w:r w:rsidRPr="00944CAE">
        <w:rPr>
          <w:rFonts w:ascii="Arial" w:eastAsia="Times New Roman" w:hAnsi="Arial" w:cs="Arial"/>
          <w:bCs/>
          <w:lang w:eastAsia="en-GB"/>
        </w:rPr>
        <w:t xml:space="preserve"> upcoming workforce development strategy should outline a clear plan for a range of interventions that will improve the skills and qualifications of the early years workforce.</w:t>
      </w:r>
    </w:p>
    <w:p w:rsidR="003B3C4F" w:rsidRPr="00944CAE" w:rsidRDefault="003B3C4F" w:rsidP="003B3C4F">
      <w:pPr>
        <w:spacing w:after="0" w:line="240" w:lineRule="auto"/>
        <w:rPr>
          <w:rFonts w:ascii="Arial" w:eastAsia="Times New Roman" w:hAnsi="Arial" w:cs="Arial"/>
          <w:b/>
          <w:bCs/>
          <w:color w:val="444444"/>
          <w:lang w:eastAsia="en-GB"/>
        </w:rPr>
      </w:pPr>
    </w:p>
    <w:p w:rsidR="003B3C4F" w:rsidRPr="00944CAE" w:rsidRDefault="003B3C4F" w:rsidP="003B3C4F">
      <w:pPr>
        <w:spacing w:after="0" w:line="240" w:lineRule="auto"/>
        <w:rPr>
          <w:rFonts w:ascii="Arial" w:eastAsia="Times New Roman" w:hAnsi="Arial" w:cs="Arial"/>
          <w:b/>
          <w:lang w:eastAsia="en-GB"/>
        </w:rPr>
      </w:pPr>
      <w:r w:rsidRPr="00944CAE">
        <w:rPr>
          <w:rFonts w:ascii="Arial" w:eastAsia="Times New Roman" w:hAnsi="Arial" w:cs="Arial"/>
          <w:b/>
          <w:bCs/>
          <w:lang w:eastAsia="en-GB"/>
        </w:rPr>
        <w:t>28</w:t>
      </w:r>
      <w:r w:rsidR="0000694D" w:rsidRPr="00944CAE">
        <w:rPr>
          <w:rFonts w:ascii="Arial" w:eastAsia="Times New Roman" w:hAnsi="Arial" w:cs="Arial"/>
          <w:b/>
          <w:bCs/>
          <w:lang w:eastAsia="en-GB"/>
        </w:rPr>
        <w:t xml:space="preserve"> </w:t>
      </w:r>
      <w:r w:rsidRPr="00944CAE">
        <w:rPr>
          <w:rFonts w:ascii="Arial" w:eastAsia="Times New Roman" w:hAnsi="Arial" w:cs="Arial"/>
          <w:b/>
          <w:lang w:eastAsia="en-GB"/>
        </w:rPr>
        <w:t>Finally, for this page, if you want to explain a response you’ve submitted on this page in more detail, please do so here:</w:t>
      </w:r>
    </w:p>
    <w:p w:rsidR="003B3C4F" w:rsidRPr="00944CAE" w:rsidRDefault="003B3C4F" w:rsidP="003B3C4F">
      <w:pPr>
        <w:spacing w:after="0" w:line="240" w:lineRule="auto"/>
        <w:rPr>
          <w:rFonts w:ascii="Arial" w:eastAsia="Times New Roman" w:hAnsi="Arial" w:cs="Arial"/>
          <w:color w:val="000000"/>
          <w:sz w:val="24"/>
          <w:szCs w:val="24"/>
          <w:lang w:eastAsia="en-GB"/>
        </w:rPr>
      </w:pPr>
    </w:p>
    <w:p w:rsidR="003B3C4F" w:rsidRPr="00944CAE" w:rsidRDefault="003B3C4F" w:rsidP="003B3C4F">
      <w:pPr>
        <w:spacing w:after="0" w:line="240" w:lineRule="auto"/>
        <w:rPr>
          <w:rFonts w:ascii="Arial" w:eastAsia="Times New Roman" w:hAnsi="Arial" w:cs="Arial"/>
          <w:color w:val="000000"/>
          <w:lang w:eastAsia="en-GB"/>
        </w:rPr>
      </w:pPr>
      <w:r w:rsidRPr="00944CAE">
        <w:rPr>
          <w:rFonts w:ascii="Arial" w:eastAsia="Times New Roman" w:hAnsi="Arial" w:cs="Arial"/>
          <w:color w:val="000000"/>
          <w:lang w:eastAsia="en-GB"/>
        </w:rPr>
        <w:t xml:space="preserve">Supplements are a useful way for local authorities to manage the local childcare market and to incentivise developments that better meet the needs of parents. While we support </w:t>
      </w:r>
      <w:r w:rsidR="00F71126" w:rsidRPr="00944CAE">
        <w:rPr>
          <w:rFonts w:ascii="Arial" w:eastAsia="Times New Roman" w:hAnsi="Arial" w:cs="Arial"/>
          <w:color w:val="000000"/>
          <w:lang w:eastAsia="en-GB"/>
        </w:rPr>
        <w:t>efforts to simplify funding</w:t>
      </w:r>
      <w:r w:rsidRPr="00944CAE">
        <w:rPr>
          <w:rFonts w:ascii="Arial" w:eastAsia="Times New Roman" w:hAnsi="Arial" w:cs="Arial"/>
          <w:color w:val="000000"/>
          <w:lang w:eastAsia="en-GB"/>
        </w:rPr>
        <w:t>, we do not believe that the childcare market</w:t>
      </w:r>
      <w:r w:rsidR="00E50513" w:rsidRPr="00944CAE">
        <w:rPr>
          <w:rFonts w:ascii="Arial" w:eastAsia="Times New Roman" w:hAnsi="Arial" w:cs="Arial"/>
          <w:color w:val="000000"/>
          <w:lang w:eastAsia="en-GB"/>
        </w:rPr>
        <w:t>, which contains providers with a range of costs</w:t>
      </w:r>
      <w:r w:rsidR="00F71126" w:rsidRPr="00944CAE">
        <w:rPr>
          <w:rFonts w:ascii="Arial" w:eastAsia="Times New Roman" w:hAnsi="Arial" w:cs="Arial"/>
          <w:color w:val="000000"/>
          <w:lang w:eastAsia="en-GB"/>
        </w:rPr>
        <w:t xml:space="preserve"> as well as a range of local sufficiency challenges</w:t>
      </w:r>
      <w:r w:rsidR="00E50513" w:rsidRPr="00944CAE">
        <w:rPr>
          <w:rFonts w:ascii="Arial" w:eastAsia="Times New Roman" w:hAnsi="Arial" w:cs="Arial"/>
          <w:color w:val="000000"/>
          <w:lang w:eastAsia="en-GB"/>
        </w:rPr>
        <w:t>,</w:t>
      </w:r>
      <w:r w:rsidRPr="00944CAE">
        <w:rPr>
          <w:rFonts w:ascii="Arial" w:eastAsia="Times New Roman" w:hAnsi="Arial" w:cs="Arial"/>
          <w:color w:val="000000"/>
          <w:lang w:eastAsia="en-GB"/>
        </w:rPr>
        <w:t xml:space="preserve"> </w:t>
      </w:r>
      <w:r w:rsidR="00F71126" w:rsidRPr="00944CAE">
        <w:rPr>
          <w:rFonts w:ascii="Arial" w:eastAsia="Times New Roman" w:hAnsi="Arial" w:cs="Arial"/>
          <w:color w:val="000000"/>
          <w:lang w:eastAsia="en-GB"/>
        </w:rPr>
        <w:t>is in a position where excessively narrow constraints on supplements is appropriate</w:t>
      </w:r>
      <w:r w:rsidRPr="00944CAE">
        <w:rPr>
          <w:rFonts w:ascii="Arial" w:eastAsia="Times New Roman" w:hAnsi="Arial" w:cs="Arial"/>
          <w:color w:val="000000"/>
          <w:lang w:eastAsia="en-GB"/>
        </w:rPr>
        <w:t xml:space="preserve">. </w:t>
      </w:r>
      <w:r w:rsidR="00EC3DD1" w:rsidRPr="00944CAE">
        <w:rPr>
          <w:rFonts w:ascii="Arial" w:eastAsia="Times New Roman" w:hAnsi="Arial" w:cs="Arial"/>
          <w:color w:val="000000"/>
          <w:lang w:eastAsia="en-GB"/>
        </w:rPr>
        <w:t xml:space="preserve">In addition, childcare funding will also be changing significantly over the coming years and local authorities will need to monitor the market and work with providers to make sure that parents’ needs are met. </w:t>
      </w:r>
      <w:r w:rsidRPr="00944CAE">
        <w:rPr>
          <w:rFonts w:ascii="Arial" w:eastAsia="Times New Roman" w:hAnsi="Arial" w:cs="Arial"/>
          <w:color w:val="000000"/>
          <w:lang w:eastAsia="en-GB"/>
        </w:rPr>
        <w:t xml:space="preserve">Capping the use of supplements would limit local authorities’ ability to respond to and improve the local market. The market faces significant issues around quality, sufficiency, accessibility and flexibility, and these vary considerably between local areas. Local authorities need to be able to use incentives in order to make improvements where needed locally. In light of this, it is important that local authorities are able to work with providers to support the market to meet the needs of parents. Supplements are a useful way to do this. Once the market is consistently meeting needs around quality, sufficiency, accessibility and flexibility, then we would support a cap on supplement use. </w:t>
      </w:r>
    </w:p>
    <w:p w:rsidR="003B3C4F" w:rsidRPr="00944CAE" w:rsidRDefault="003B3C4F" w:rsidP="003B3C4F">
      <w:pPr>
        <w:spacing w:after="0" w:line="240" w:lineRule="auto"/>
        <w:rPr>
          <w:rFonts w:ascii="Arial" w:eastAsia="Times New Roman" w:hAnsi="Arial" w:cs="Arial"/>
          <w:color w:val="000000"/>
          <w:lang w:eastAsia="en-GB"/>
        </w:rPr>
      </w:pPr>
    </w:p>
    <w:p w:rsidR="006A2A6A" w:rsidRPr="00944CAE" w:rsidRDefault="00F71126" w:rsidP="003B3C4F">
      <w:pPr>
        <w:spacing w:after="0" w:line="240" w:lineRule="auto"/>
        <w:rPr>
          <w:rFonts w:ascii="Arial" w:eastAsia="Times New Roman" w:hAnsi="Arial" w:cs="Arial"/>
          <w:color w:val="000000"/>
          <w:lang w:eastAsia="en-GB"/>
        </w:rPr>
      </w:pPr>
      <w:r w:rsidRPr="00944CAE">
        <w:rPr>
          <w:rFonts w:ascii="Arial" w:eastAsia="Times New Roman" w:hAnsi="Arial" w:cs="Arial"/>
          <w:color w:val="000000"/>
          <w:lang w:eastAsia="en-GB"/>
        </w:rPr>
        <w:t xml:space="preserve">Some </w:t>
      </w:r>
      <w:r w:rsidR="003B3C4F" w:rsidRPr="00944CAE">
        <w:rPr>
          <w:rFonts w:ascii="Arial" w:eastAsia="Times New Roman" w:hAnsi="Arial" w:cs="Arial"/>
          <w:color w:val="000000"/>
          <w:lang w:eastAsia="en-GB"/>
        </w:rPr>
        <w:t>local authorities currently pay a higher base rate for childminders</w:t>
      </w:r>
      <w:r w:rsidR="00322E76">
        <w:rPr>
          <w:rFonts w:ascii="Arial" w:eastAsia="Times New Roman" w:hAnsi="Arial" w:cs="Arial"/>
          <w:color w:val="000000"/>
          <w:lang w:eastAsia="en-GB"/>
        </w:rPr>
        <w:t>.</w:t>
      </w:r>
      <w:r w:rsidR="00EC3DD1" w:rsidRPr="00944CAE">
        <w:rPr>
          <w:rStyle w:val="FootnoteReference"/>
          <w:rFonts w:ascii="Arial" w:eastAsia="Times New Roman" w:hAnsi="Arial" w:cs="Arial"/>
          <w:color w:val="000000"/>
          <w:lang w:eastAsia="en-GB"/>
        </w:rPr>
        <w:footnoteReference w:id="7"/>
      </w:r>
      <w:r w:rsidR="003B3C4F" w:rsidRPr="00944CAE">
        <w:rPr>
          <w:rFonts w:ascii="Arial" w:eastAsia="Times New Roman" w:hAnsi="Arial" w:cs="Arial"/>
          <w:color w:val="000000"/>
          <w:lang w:eastAsia="en-GB"/>
        </w:rPr>
        <w:t xml:space="preserve"> Childminders provide a vital component of the childcare market, with some parents preferring the home environment and some childminders able to offer greater flexibility in their hours. </w:t>
      </w:r>
      <w:r w:rsidR="00FF4A3B" w:rsidRPr="00944CAE">
        <w:rPr>
          <w:rFonts w:ascii="Arial" w:eastAsia="Times New Roman" w:hAnsi="Arial" w:cs="Arial"/>
          <w:color w:val="000000"/>
          <w:lang w:eastAsia="en-GB"/>
        </w:rPr>
        <w:t xml:space="preserve">Local authorities pay a higher rate to childminders for one of two reasons: to incentivise higher qualifications, or to </w:t>
      </w:r>
      <w:r w:rsidR="00FF4A3B" w:rsidRPr="00944CAE">
        <w:rPr>
          <w:rFonts w:ascii="Arial" w:hAnsi="Arial" w:cs="Arial"/>
        </w:rPr>
        <w:t>recognise childminders offering flexible services must manage low occupancy so need a higher payment to offer this service. Childminder numbers are</w:t>
      </w:r>
      <w:r w:rsidR="00322E76">
        <w:rPr>
          <w:rFonts w:ascii="Arial" w:hAnsi="Arial" w:cs="Arial"/>
        </w:rPr>
        <w:t xml:space="preserve"> declining in England, and the D</w:t>
      </w:r>
      <w:r w:rsidR="00FF4A3B" w:rsidRPr="00944CAE">
        <w:rPr>
          <w:rFonts w:ascii="Arial" w:hAnsi="Arial" w:cs="Arial"/>
        </w:rPr>
        <w:t xml:space="preserve">epartment should consider how this funding formula will affect childminder </w:t>
      </w:r>
      <w:r w:rsidR="00B177BF" w:rsidRPr="00944CAE">
        <w:rPr>
          <w:rFonts w:ascii="Arial" w:hAnsi="Arial" w:cs="Arial"/>
        </w:rPr>
        <w:t>numbers. Central and local government could nurture the market by s</w:t>
      </w:r>
      <w:r w:rsidR="00FF4A3B" w:rsidRPr="00944CAE">
        <w:rPr>
          <w:rFonts w:ascii="Arial" w:hAnsi="Arial" w:cs="Arial"/>
        </w:rPr>
        <w:t>upport</w:t>
      </w:r>
      <w:r w:rsidR="00B177BF" w:rsidRPr="00944CAE">
        <w:rPr>
          <w:rFonts w:ascii="Arial" w:hAnsi="Arial" w:cs="Arial"/>
        </w:rPr>
        <w:t>ing</w:t>
      </w:r>
      <w:r w:rsidR="00FF4A3B" w:rsidRPr="00944CAE">
        <w:rPr>
          <w:rFonts w:ascii="Arial" w:hAnsi="Arial" w:cs="Arial"/>
        </w:rPr>
        <w:t xml:space="preserve"> childminder networks and prov</w:t>
      </w:r>
      <w:r w:rsidR="00B177BF" w:rsidRPr="00944CAE">
        <w:rPr>
          <w:rFonts w:ascii="Arial" w:hAnsi="Arial" w:cs="Arial"/>
        </w:rPr>
        <w:t>iding</w:t>
      </w:r>
      <w:r w:rsidR="00FF4A3B" w:rsidRPr="00944CAE">
        <w:rPr>
          <w:rFonts w:ascii="Arial" w:hAnsi="Arial" w:cs="Arial"/>
        </w:rPr>
        <w:t xml:space="preserve"> business support and start-up grants. </w:t>
      </w:r>
    </w:p>
    <w:p w:rsidR="003B3C4F" w:rsidRPr="00944CAE" w:rsidRDefault="003B3C4F" w:rsidP="003B3C4F">
      <w:pPr>
        <w:spacing w:after="0" w:line="240" w:lineRule="auto"/>
        <w:rPr>
          <w:rFonts w:ascii="Arial" w:eastAsia="Times New Roman" w:hAnsi="Arial" w:cs="Arial"/>
          <w:color w:val="000000"/>
          <w:sz w:val="24"/>
          <w:szCs w:val="24"/>
          <w:lang w:eastAsia="en-GB"/>
        </w:rPr>
      </w:pPr>
    </w:p>
    <w:p w:rsidR="003B3C4F" w:rsidRPr="00944CAE" w:rsidRDefault="003B3C4F">
      <w:pPr>
        <w:rPr>
          <w:rFonts w:ascii="Arial" w:hAnsi="Arial" w:cs="Arial"/>
        </w:rPr>
      </w:pPr>
      <w:r w:rsidRPr="00944CAE">
        <w:rPr>
          <w:rFonts w:ascii="Arial" w:hAnsi="Arial" w:cs="Arial"/>
        </w:rPr>
        <w:t>Introducing a universal base rate is desirable in terms of requiring the same quality and practice from all providers.</w:t>
      </w:r>
      <w:r w:rsidR="00905B49" w:rsidRPr="00944CAE">
        <w:rPr>
          <w:rFonts w:ascii="Arial" w:hAnsi="Arial" w:cs="Arial"/>
        </w:rPr>
        <w:t xml:space="preserve"> We would like to see the universal funding rate linked to increased expectations of quality in PVI provision, ultimately with a convergence of standards across maintained and PVI settings.</w:t>
      </w:r>
      <w:r w:rsidRPr="00944CAE">
        <w:rPr>
          <w:rFonts w:ascii="Arial" w:hAnsi="Arial" w:cs="Arial"/>
        </w:rPr>
        <w:t xml:space="preserve"> </w:t>
      </w:r>
      <w:r w:rsidR="00905B49" w:rsidRPr="00944CAE">
        <w:rPr>
          <w:rFonts w:ascii="Arial" w:hAnsi="Arial" w:cs="Arial"/>
        </w:rPr>
        <w:t xml:space="preserve">This will ensure funding is distributed fairly to providers that have high quality standards and deliver good value for money for the public. </w:t>
      </w:r>
      <w:r w:rsidRPr="00944CAE">
        <w:rPr>
          <w:rFonts w:ascii="Arial" w:hAnsi="Arial" w:cs="Arial"/>
        </w:rPr>
        <w:t xml:space="preserve">Maintained sector nurseries currently </w:t>
      </w:r>
      <w:r w:rsidR="003B1CEE" w:rsidRPr="00944CAE">
        <w:rPr>
          <w:rFonts w:ascii="Arial" w:hAnsi="Arial" w:cs="Arial"/>
        </w:rPr>
        <w:t xml:space="preserve">often face higher costs as a result of teacher lead provision and requirements around admissions and inclusion. Equalising funding is an opportunity to spread good practice across all provider types </w:t>
      </w:r>
      <w:r w:rsidR="0046454F" w:rsidRPr="00944CAE">
        <w:rPr>
          <w:rFonts w:ascii="Arial" w:hAnsi="Arial" w:cs="Arial"/>
        </w:rPr>
        <w:t>and</w:t>
      </w:r>
      <w:r w:rsidR="003B1CEE" w:rsidRPr="00944CAE">
        <w:rPr>
          <w:rFonts w:ascii="Arial" w:hAnsi="Arial" w:cs="Arial"/>
        </w:rPr>
        <w:t xml:space="preserve"> develop a clear roadmap to </w:t>
      </w:r>
      <w:r w:rsidR="0046454F" w:rsidRPr="00944CAE">
        <w:rPr>
          <w:rFonts w:ascii="Arial" w:hAnsi="Arial" w:cs="Arial"/>
        </w:rPr>
        <w:t>delivering graduate-led care to all children</w:t>
      </w:r>
      <w:r w:rsidR="003B1CEE" w:rsidRPr="00944CAE">
        <w:rPr>
          <w:rFonts w:ascii="Arial" w:hAnsi="Arial" w:cs="Arial"/>
        </w:rPr>
        <w:t>.</w:t>
      </w:r>
      <w:r w:rsidR="000477AF" w:rsidRPr="00944CAE">
        <w:rPr>
          <w:rFonts w:ascii="Arial" w:hAnsi="Arial" w:cs="Arial"/>
        </w:rPr>
        <w:t xml:space="preserve"> For some smaller sessional providers and </w:t>
      </w:r>
      <w:r w:rsidR="000477AF" w:rsidRPr="00944CAE">
        <w:rPr>
          <w:rFonts w:ascii="Arial" w:hAnsi="Arial" w:cs="Arial"/>
        </w:rPr>
        <w:lastRenderedPageBreak/>
        <w:t xml:space="preserve">childminders, the Department should also encourage local authorities to work with providers to arrange shared graduate leaders and graduate-led childminder networks. </w:t>
      </w:r>
      <w:r w:rsidR="00546A38" w:rsidRPr="00944CAE">
        <w:rPr>
          <w:rFonts w:ascii="Arial" w:hAnsi="Arial" w:cs="Arial"/>
        </w:rPr>
        <w:t xml:space="preserve">Nursery classes in schools are also currently bound by the School Admissions Code. As part of equalisation of funding, </w:t>
      </w:r>
      <w:r w:rsidR="000477AF" w:rsidRPr="00944CAE">
        <w:rPr>
          <w:rFonts w:ascii="Arial" w:hAnsi="Arial" w:cs="Arial"/>
        </w:rPr>
        <w:t>we would like to see a statutory admissions code of practice spread to all centre-based provision to ensure fair access to care, prioritising access for the most disadvantaged children, reducing cherry-picking of parents so that the most profitable providers must serve a whole community rather than a narrow group of parents, and securing value for money for public investment.</w:t>
      </w:r>
      <w:r w:rsidR="00546A38" w:rsidRPr="00944CAE">
        <w:rPr>
          <w:rFonts w:ascii="Arial" w:hAnsi="Arial" w:cs="Arial"/>
        </w:rPr>
        <w:t xml:space="preserve"> </w:t>
      </w:r>
    </w:p>
    <w:p w:rsidR="000477AF" w:rsidRPr="00944CAE" w:rsidRDefault="000477AF">
      <w:pPr>
        <w:rPr>
          <w:rFonts w:ascii="Arial" w:hAnsi="Arial" w:cs="Arial"/>
        </w:rPr>
      </w:pPr>
      <w:r w:rsidRPr="00944CAE">
        <w:rPr>
          <w:rFonts w:ascii="Arial" w:hAnsi="Arial" w:cs="Arial"/>
        </w:rPr>
        <w:t xml:space="preserve">The drawback of the universal base rate is that it reduces the ability of local authorities to manage the local childcare market. Currently local authorities can use different rates as an incentive to increase supply where needed in a particular sector (for example, childminders). </w:t>
      </w:r>
      <w:r w:rsidR="00B177BF" w:rsidRPr="00944CAE">
        <w:rPr>
          <w:rFonts w:ascii="Arial" w:hAnsi="Arial" w:cs="Arial"/>
        </w:rPr>
        <w:t>While we would support moving towards the universal base rate becoming the norm, l</w:t>
      </w:r>
      <w:r w:rsidRPr="00944CAE">
        <w:rPr>
          <w:rFonts w:ascii="Arial" w:hAnsi="Arial" w:cs="Arial"/>
        </w:rPr>
        <w:t>ocal authorities should still be able to implement different rates where particular issues in the local market exist.</w:t>
      </w:r>
    </w:p>
    <w:p w:rsidR="00905B49" w:rsidRPr="00944CAE" w:rsidRDefault="00905B49">
      <w:pPr>
        <w:rPr>
          <w:rFonts w:ascii="Arial" w:hAnsi="Arial" w:cs="Arial"/>
        </w:rPr>
      </w:pPr>
      <w:r w:rsidRPr="00944CAE">
        <w:rPr>
          <w:rFonts w:ascii="Arial" w:hAnsi="Arial" w:cs="Arial"/>
        </w:rPr>
        <w:t>The department must also make sure that the universal base rate leads to quality improvement across the board, rather than a reduction in quality in the maintained sector. The most disadvantaged children are most likely to attend free early education in a maintained setting: 63 per cent of children in the most deprived decile compared to 17 per cent in the least deprived decile (NAO, 2016). Maintained early years providers must meet higher staffing requirements set out in the EYFS framework, higher inclusion requirements set out in the statutory SEND Code of Practice, and adhere to the schools admissions code. It is important that maintained providers continue to be funded at a sufficient level to meet these standards.</w:t>
      </w:r>
    </w:p>
    <w:p w:rsidR="007439ED" w:rsidRPr="00944CAE" w:rsidRDefault="007439ED" w:rsidP="00352934">
      <w:pPr>
        <w:spacing w:after="0" w:line="240" w:lineRule="auto"/>
        <w:rPr>
          <w:rFonts w:ascii="Arial" w:hAnsi="Arial" w:cs="Arial"/>
          <w:color w:val="1F497D"/>
        </w:rPr>
      </w:pPr>
    </w:p>
    <w:p w:rsidR="007439ED" w:rsidRPr="00944CAE" w:rsidRDefault="007439ED" w:rsidP="007439ED">
      <w:pPr>
        <w:spacing w:after="0" w:line="240" w:lineRule="auto"/>
        <w:rPr>
          <w:rFonts w:ascii="Arial" w:eastAsia="Times New Roman" w:hAnsi="Arial" w:cs="Arial"/>
          <w:b/>
          <w:lang w:eastAsia="en-GB"/>
        </w:rPr>
      </w:pPr>
      <w:r w:rsidRPr="00944CAE">
        <w:rPr>
          <w:rFonts w:ascii="Arial" w:eastAsia="Times New Roman" w:hAnsi="Arial" w:cs="Arial"/>
          <w:b/>
          <w:bCs/>
          <w:lang w:eastAsia="en-GB"/>
        </w:rPr>
        <w:t xml:space="preserve">29 </w:t>
      </w:r>
      <w:r w:rsidRPr="00944CAE">
        <w:rPr>
          <w:rFonts w:ascii="Arial" w:eastAsia="Times New Roman" w:hAnsi="Arial" w:cs="Arial"/>
          <w:b/>
          <w:lang w:eastAsia="en-GB"/>
        </w:rPr>
        <w:t>Should there be a Disability Access Fund to support disabled children to access their free entitlement?</w:t>
      </w:r>
    </w:p>
    <w:p w:rsidR="007439ED" w:rsidRPr="00944CAE" w:rsidRDefault="007439ED" w:rsidP="007439ED">
      <w:pPr>
        <w:spacing w:after="0" w:line="240" w:lineRule="auto"/>
        <w:rPr>
          <w:rFonts w:ascii="Arial" w:eastAsia="Times New Roman" w:hAnsi="Arial" w:cs="Arial"/>
          <w:sz w:val="24"/>
          <w:szCs w:val="24"/>
          <w:lang w:eastAsia="en-GB"/>
        </w:rPr>
      </w:pPr>
    </w:p>
    <w:p w:rsidR="007439ED" w:rsidRPr="00944CAE" w:rsidRDefault="007439ED" w:rsidP="007439ED">
      <w:pPr>
        <w:spacing w:after="0" w:line="240" w:lineRule="auto"/>
        <w:rPr>
          <w:rFonts w:ascii="Arial" w:eastAsia="Times New Roman" w:hAnsi="Arial" w:cs="Arial"/>
          <w:sz w:val="24"/>
          <w:szCs w:val="24"/>
          <w:lang w:eastAsia="en-GB"/>
        </w:rPr>
      </w:pPr>
      <w:r w:rsidRPr="00944CAE">
        <w:rPr>
          <w:rFonts w:ascii="Arial" w:eastAsia="Times New Roman" w:hAnsi="Arial" w:cs="Arial"/>
          <w:sz w:val="24"/>
          <w:szCs w:val="24"/>
        </w:rPr>
        <w:object w:dxaOrig="1440" w:dyaOrig="1440" w14:anchorId="454ADD61">
          <v:shape id="_x0000_i1503" type="#_x0000_t75" style="width:20.1pt;height:17.6pt" o:ole="">
            <v:imagedata r:id="rId8" o:title=""/>
          </v:shape>
          <w:control r:id="rId115" w:name="DefaultOcxName" w:shapeid="_x0000_i1503"/>
        </w:object>
      </w:r>
      <w:r w:rsidRPr="00944CAE">
        <w:rPr>
          <w:rFonts w:ascii="Arial" w:eastAsia="Times New Roman" w:hAnsi="Arial" w:cs="Arial"/>
          <w:sz w:val="24"/>
          <w:szCs w:val="24"/>
          <w:lang w:eastAsia="en-GB"/>
        </w:rPr>
        <w:t>Yes </w:t>
      </w:r>
      <w:r w:rsidRPr="00944CAE">
        <w:rPr>
          <w:rFonts w:ascii="Arial" w:eastAsia="Times New Roman" w:hAnsi="Arial" w:cs="Arial"/>
          <w:sz w:val="24"/>
          <w:szCs w:val="24"/>
          <w:lang w:eastAsia="en-GB"/>
        </w:rPr>
        <w:br/>
      </w:r>
      <w:r w:rsidRPr="00944CAE">
        <w:rPr>
          <w:rFonts w:ascii="Arial" w:eastAsia="Times New Roman" w:hAnsi="Arial" w:cs="Arial"/>
          <w:sz w:val="24"/>
          <w:szCs w:val="24"/>
        </w:rPr>
        <w:object w:dxaOrig="1440" w:dyaOrig="1440" w14:anchorId="27D9CB3A">
          <v:shape id="_x0000_i1506" type="#_x0000_t75" style="width:20.1pt;height:17.6pt" o:ole="">
            <v:imagedata r:id="rId10" o:title=""/>
          </v:shape>
          <w:control r:id="rId116" w:name="DefaultOcxName1" w:shapeid="_x0000_i1506"/>
        </w:object>
      </w:r>
      <w:r w:rsidRPr="00944CAE">
        <w:rPr>
          <w:rFonts w:ascii="Arial" w:eastAsia="Times New Roman" w:hAnsi="Arial" w:cs="Arial"/>
          <w:sz w:val="24"/>
          <w:szCs w:val="24"/>
          <w:lang w:eastAsia="en-GB"/>
        </w:rPr>
        <w:t>No </w:t>
      </w:r>
      <w:r w:rsidRPr="00944CAE">
        <w:rPr>
          <w:rFonts w:ascii="Arial" w:eastAsia="Times New Roman" w:hAnsi="Arial" w:cs="Arial"/>
          <w:sz w:val="24"/>
          <w:szCs w:val="24"/>
          <w:lang w:eastAsia="en-GB"/>
        </w:rPr>
        <w:br/>
      </w:r>
      <w:r w:rsidRPr="00944CAE">
        <w:rPr>
          <w:rFonts w:ascii="Arial" w:eastAsia="Times New Roman" w:hAnsi="Arial" w:cs="Arial"/>
          <w:sz w:val="24"/>
          <w:szCs w:val="24"/>
        </w:rPr>
        <w:object w:dxaOrig="1440" w:dyaOrig="1440" w14:anchorId="094D8A70">
          <v:shape id="_x0000_i1509" type="#_x0000_t75" style="width:20.1pt;height:17.6pt" o:ole="">
            <v:imagedata r:id="rId10" o:title=""/>
          </v:shape>
          <w:control r:id="rId117" w:name="DefaultOcxName2" w:shapeid="_x0000_i1509"/>
        </w:object>
      </w:r>
      <w:r w:rsidRPr="00944CAE">
        <w:rPr>
          <w:rFonts w:ascii="Arial" w:eastAsia="Times New Roman" w:hAnsi="Arial" w:cs="Arial"/>
          <w:sz w:val="24"/>
          <w:szCs w:val="24"/>
          <w:lang w:eastAsia="en-GB"/>
        </w:rPr>
        <w:t>Unsure </w:t>
      </w:r>
      <w:r w:rsidRPr="00944CAE">
        <w:rPr>
          <w:rFonts w:ascii="Arial" w:eastAsia="Times New Roman" w:hAnsi="Arial" w:cs="Arial"/>
          <w:sz w:val="24"/>
          <w:szCs w:val="24"/>
          <w:lang w:eastAsia="en-GB"/>
        </w:rPr>
        <w:br/>
      </w:r>
    </w:p>
    <w:p w:rsidR="007439ED" w:rsidRPr="00944CAE" w:rsidRDefault="007439ED" w:rsidP="007439ED">
      <w:pPr>
        <w:spacing w:after="0" w:line="240" w:lineRule="auto"/>
        <w:rPr>
          <w:rFonts w:ascii="Arial" w:eastAsia="Times New Roman" w:hAnsi="Arial" w:cs="Arial"/>
          <w:b/>
          <w:color w:val="000000"/>
          <w:lang w:eastAsia="en-GB"/>
        </w:rPr>
      </w:pPr>
      <w:r w:rsidRPr="00944CAE">
        <w:rPr>
          <w:rFonts w:ascii="Arial" w:eastAsia="Times New Roman" w:hAnsi="Arial" w:cs="Arial"/>
          <w:b/>
          <w:bCs/>
          <w:lang w:eastAsia="en-GB"/>
        </w:rPr>
        <w:t xml:space="preserve">30 </w:t>
      </w:r>
      <w:r w:rsidRPr="00944CAE">
        <w:rPr>
          <w:rFonts w:ascii="Arial" w:eastAsia="Times New Roman" w:hAnsi="Arial" w:cs="Arial"/>
          <w:b/>
          <w:lang w:eastAsia="en-GB"/>
        </w:rPr>
        <w:t>Should eligibility for the Disability Access Fund be children aged 3 or 4 which are a) taking up their free entitlement and b) in receipt of Disability Living Allowance?</w:t>
      </w:r>
    </w:p>
    <w:p w:rsidR="007439ED" w:rsidRPr="00944CAE" w:rsidRDefault="007439ED" w:rsidP="007439ED">
      <w:pPr>
        <w:spacing w:after="0" w:line="240" w:lineRule="auto"/>
        <w:rPr>
          <w:rFonts w:ascii="Arial" w:eastAsia="Times New Roman" w:hAnsi="Arial" w:cs="Arial"/>
          <w:sz w:val="24"/>
          <w:szCs w:val="24"/>
          <w:lang w:eastAsia="en-GB"/>
        </w:rPr>
      </w:pPr>
    </w:p>
    <w:p w:rsidR="007439ED" w:rsidRPr="00944CAE" w:rsidRDefault="007439ED" w:rsidP="007439ED">
      <w:pPr>
        <w:spacing w:after="0" w:line="240" w:lineRule="auto"/>
        <w:rPr>
          <w:rFonts w:ascii="Arial" w:eastAsia="Times New Roman" w:hAnsi="Arial" w:cs="Arial"/>
          <w:sz w:val="24"/>
          <w:szCs w:val="24"/>
          <w:lang w:eastAsia="en-GB"/>
        </w:rPr>
      </w:pPr>
      <w:r w:rsidRPr="00944CAE">
        <w:rPr>
          <w:rFonts w:ascii="Arial" w:eastAsia="Times New Roman" w:hAnsi="Arial" w:cs="Arial"/>
          <w:sz w:val="24"/>
          <w:szCs w:val="24"/>
        </w:rPr>
        <w:object w:dxaOrig="1440" w:dyaOrig="1440" w14:anchorId="669BDBD2">
          <v:shape id="_x0000_i1512" type="#_x0000_t75" style="width:20.1pt;height:17.6pt" o:ole="">
            <v:imagedata r:id="rId10" o:title=""/>
          </v:shape>
          <w:control r:id="rId118" w:name="DefaultOcxName3" w:shapeid="_x0000_i1512"/>
        </w:object>
      </w:r>
      <w:r w:rsidRPr="00944CAE">
        <w:rPr>
          <w:rFonts w:ascii="Arial" w:eastAsia="Times New Roman" w:hAnsi="Arial" w:cs="Arial"/>
          <w:sz w:val="24"/>
          <w:szCs w:val="24"/>
          <w:lang w:eastAsia="en-GB"/>
        </w:rPr>
        <w:t>Yes </w:t>
      </w:r>
      <w:r w:rsidRPr="00944CAE">
        <w:rPr>
          <w:rFonts w:ascii="Arial" w:eastAsia="Times New Roman" w:hAnsi="Arial" w:cs="Arial"/>
          <w:sz w:val="24"/>
          <w:szCs w:val="24"/>
          <w:lang w:eastAsia="en-GB"/>
        </w:rPr>
        <w:br/>
      </w:r>
      <w:r w:rsidRPr="00944CAE">
        <w:rPr>
          <w:rFonts w:ascii="Arial" w:eastAsia="Times New Roman" w:hAnsi="Arial" w:cs="Arial"/>
          <w:sz w:val="24"/>
          <w:szCs w:val="24"/>
        </w:rPr>
        <w:object w:dxaOrig="1440" w:dyaOrig="1440" w14:anchorId="2BA81E2D">
          <v:shape id="_x0000_i1515" type="#_x0000_t75" style="width:20.1pt;height:17.6pt" o:ole="">
            <v:imagedata r:id="rId10" o:title=""/>
          </v:shape>
          <w:control r:id="rId119" w:name="DefaultOcxName4" w:shapeid="_x0000_i1515"/>
        </w:object>
      </w:r>
      <w:r w:rsidRPr="00944CAE">
        <w:rPr>
          <w:rFonts w:ascii="Arial" w:eastAsia="Times New Roman" w:hAnsi="Arial" w:cs="Arial"/>
          <w:sz w:val="24"/>
          <w:szCs w:val="24"/>
          <w:lang w:eastAsia="en-GB"/>
        </w:rPr>
        <w:t>No </w:t>
      </w:r>
      <w:r w:rsidRPr="00944CAE">
        <w:rPr>
          <w:rFonts w:ascii="Arial" w:eastAsia="Times New Roman" w:hAnsi="Arial" w:cs="Arial"/>
          <w:sz w:val="24"/>
          <w:szCs w:val="24"/>
          <w:lang w:eastAsia="en-GB"/>
        </w:rPr>
        <w:br/>
      </w:r>
      <w:r w:rsidRPr="00944CAE">
        <w:rPr>
          <w:rFonts w:ascii="Arial" w:eastAsia="Times New Roman" w:hAnsi="Arial" w:cs="Arial"/>
          <w:sz w:val="24"/>
          <w:szCs w:val="24"/>
        </w:rPr>
        <w:object w:dxaOrig="1440" w:dyaOrig="1440" w14:anchorId="0E33F5D4">
          <v:shape id="_x0000_i1518" type="#_x0000_t75" style="width:20.1pt;height:17.6pt" o:ole="">
            <v:imagedata r:id="rId8" o:title=""/>
          </v:shape>
          <w:control r:id="rId120" w:name="DefaultOcxName5" w:shapeid="_x0000_i1518"/>
        </w:object>
      </w:r>
      <w:r w:rsidRPr="00944CAE">
        <w:rPr>
          <w:rFonts w:ascii="Arial" w:eastAsia="Times New Roman" w:hAnsi="Arial" w:cs="Arial"/>
          <w:sz w:val="24"/>
          <w:szCs w:val="24"/>
          <w:lang w:eastAsia="en-GB"/>
        </w:rPr>
        <w:t>Unsure </w:t>
      </w:r>
      <w:r w:rsidRPr="00944CAE">
        <w:rPr>
          <w:rFonts w:ascii="Arial" w:eastAsia="Times New Roman" w:hAnsi="Arial" w:cs="Arial"/>
          <w:sz w:val="24"/>
          <w:szCs w:val="24"/>
          <w:lang w:eastAsia="en-GB"/>
        </w:rPr>
        <w:br/>
      </w:r>
    </w:p>
    <w:p w:rsidR="007439ED" w:rsidRPr="00944CAE" w:rsidRDefault="007439ED" w:rsidP="007439ED">
      <w:pPr>
        <w:spacing w:after="0" w:line="240" w:lineRule="auto"/>
        <w:rPr>
          <w:rFonts w:ascii="Arial" w:eastAsia="Times New Roman" w:hAnsi="Arial" w:cs="Arial"/>
          <w:b/>
          <w:lang w:eastAsia="en-GB"/>
        </w:rPr>
      </w:pPr>
      <w:r w:rsidRPr="00944CAE">
        <w:rPr>
          <w:rFonts w:ascii="Arial" w:eastAsia="Times New Roman" w:hAnsi="Arial" w:cs="Arial"/>
          <w:b/>
          <w:bCs/>
          <w:lang w:eastAsia="en-GB"/>
        </w:rPr>
        <w:t xml:space="preserve">31 </w:t>
      </w:r>
      <w:r w:rsidRPr="00944CAE">
        <w:rPr>
          <w:rFonts w:ascii="Arial" w:eastAsia="Times New Roman" w:hAnsi="Arial" w:cs="Arial"/>
          <w:b/>
          <w:lang w:eastAsia="en-GB"/>
        </w:rPr>
        <w:t>When it comes to delivering the funding for the Disability Access Fund, is the most appropriate way the existing framework of the Early Years Pupil Premium?</w:t>
      </w:r>
    </w:p>
    <w:p w:rsidR="007439ED" w:rsidRPr="00944CAE" w:rsidRDefault="007439ED" w:rsidP="007439ED">
      <w:pPr>
        <w:spacing w:after="0" w:line="240" w:lineRule="auto"/>
        <w:rPr>
          <w:rFonts w:ascii="Arial" w:eastAsia="Times New Roman" w:hAnsi="Arial" w:cs="Arial"/>
          <w:sz w:val="24"/>
          <w:szCs w:val="24"/>
          <w:lang w:eastAsia="en-GB"/>
        </w:rPr>
      </w:pPr>
    </w:p>
    <w:p w:rsidR="007439ED" w:rsidRPr="00944CAE" w:rsidRDefault="007439ED" w:rsidP="007439ED">
      <w:pPr>
        <w:spacing w:after="0" w:line="240" w:lineRule="auto"/>
        <w:rPr>
          <w:rFonts w:ascii="Arial" w:eastAsia="Times New Roman" w:hAnsi="Arial" w:cs="Arial"/>
          <w:sz w:val="24"/>
          <w:szCs w:val="24"/>
          <w:lang w:eastAsia="en-GB"/>
        </w:rPr>
      </w:pPr>
      <w:r w:rsidRPr="00944CAE">
        <w:rPr>
          <w:rFonts w:ascii="Arial" w:eastAsia="Times New Roman" w:hAnsi="Arial" w:cs="Arial"/>
          <w:sz w:val="24"/>
          <w:szCs w:val="24"/>
        </w:rPr>
        <w:object w:dxaOrig="1440" w:dyaOrig="1440" w14:anchorId="39D06AC1">
          <v:shape id="_x0000_i1521" type="#_x0000_t75" style="width:20.1pt;height:17.6pt" o:ole="">
            <v:imagedata r:id="rId10" o:title=""/>
          </v:shape>
          <w:control r:id="rId121" w:name="DefaultOcxName6" w:shapeid="_x0000_i1521"/>
        </w:object>
      </w:r>
      <w:r w:rsidRPr="00944CAE">
        <w:rPr>
          <w:rFonts w:ascii="Arial" w:eastAsia="Times New Roman" w:hAnsi="Arial" w:cs="Arial"/>
          <w:sz w:val="24"/>
          <w:szCs w:val="24"/>
          <w:lang w:eastAsia="en-GB"/>
        </w:rPr>
        <w:t>Yes </w:t>
      </w:r>
      <w:r w:rsidRPr="00944CAE">
        <w:rPr>
          <w:rFonts w:ascii="Arial" w:eastAsia="Times New Roman" w:hAnsi="Arial" w:cs="Arial"/>
          <w:sz w:val="24"/>
          <w:szCs w:val="24"/>
          <w:lang w:eastAsia="en-GB"/>
        </w:rPr>
        <w:br/>
      </w:r>
      <w:r w:rsidRPr="00944CAE">
        <w:rPr>
          <w:rFonts w:ascii="Arial" w:eastAsia="Times New Roman" w:hAnsi="Arial" w:cs="Arial"/>
          <w:sz w:val="24"/>
          <w:szCs w:val="24"/>
        </w:rPr>
        <w:object w:dxaOrig="1440" w:dyaOrig="1440" w14:anchorId="5BC63E01">
          <v:shape id="_x0000_i1524" type="#_x0000_t75" style="width:20.1pt;height:17.6pt" o:ole="">
            <v:imagedata r:id="rId10" o:title=""/>
          </v:shape>
          <w:control r:id="rId122" w:name="DefaultOcxName7" w:shapeid="_x0000_i1524"/>
        </w:object>
      </w:r>
      <w:r w:rsidRPr="00944CAE">
        <w:rPr>
          <w:rFonts w:ascii="Arial" w:eastAsia="Times New Roman" w:hAnsi="Arial" w:cs="Arial"/>
          <w:sz w:val="24"/>
          <w:szCs w:val="24"/>
          <w:lang w:eastAsia="en-GB"/>
        </w:rPr>
        <w:t>No </w:t>
      </w:r>
      <w:r w:rsidRPr="00944CAE">
        <w:rPr>
          <w:rFonts w:ascii="Arial" w:eastAsia="Times New Roman" w:hAnsi="Arial" w:cs="Arial"/>
          <w:sz w:val="24"/>
          <w:szCs w:val="24"/>
          <w:lang w:eastAsia="en-GB"/>
        </w:rPr>
        <w:br/>
      </w:r>
      <w:r w:rsidRPr="00944CAE">
        <w:rPr>
          <w:rFonts w:ascii="Arial" w:eastAsia="Times New Roman" w:hAnsi="Arial" w:cs="Arial"/>
          <w:sz w:val="24"/>
          <w:szCs w:val="24"/>
        </w:rPr>
        <w:object w:dxaOrig="1440" w:dyaOrig="1440" w14:anchorId="66093B25">
          <v:shape id="_x0000_i1527" type="#_x0000_t75" style="width:20.1pt;height:17.6pt" o:ole="">
            <v:imagedata r:id="rId8" o:title=""/>
          </v:shape>
          <w:control r:id="rId123" w:name="DefaultOcxName8" w:shapeid="_x0000_i1527"/>
        </w:object>
      </w:r>
      <w:r w:rsidRPr="00944CAE">
        <w:rPr>
          <w:rFonts w:ascii="Arial" w:eastAsia="Times New Roman" w:hAnsi="Arial" w:cs="Arial"/>
          <w:sz w:val="24"/>
          <w:szCs w:val="24"/>
          <w:lang w:eastAsia="en-GB"/>
        </w:rPr>
        <w:t>Unsure </w:t>
      </w:r>
      <w:r w:rsidRPr="00944CAE">
        <w:rPr>
          <w:rFonts w:ascii="Arial" w:eastAsia="Times New Roman" w:hAnsi="Arial" w:cs="Arial"/>
          <w:sz w:val="24"/>
          <w:szCs w:val="24"/>
          <w:lang w:eastAsia="en-GB"/>
        </w:rPr>
        <w:br/>
      </w:r>
    </w:p>
    <w:p w:rsidR="007439ED" w:rsidRPr="00944CAE" w:rsidRDefault="007439ED" w:rsidP="007439ED">
      <w:pPr>
        <w:spacing w:after="0" w:line="240" w:lineRule="auto"/>
        <w:rPr>
          <w:rFonts w:ascii="Arial" w:eastAsia="Times New Roman" w:hAnsi="Arial" w:cs="Arial"/>
          <w:b/>
          <w:lang w:eastAsia="en-GB"/>
        </w:rPr>
      </w:pPr>
      <w:r w:rsidRPr="00944CAE">
        <w:rPr>
          <w:rFonts w:ascii="Arial" w:eastAsia="Times New Roman" w:hAnsi="Arial" w:cs="Arial"/>
          <w:b/>
          <w:bCs/>
          <w:lang w:eastAsia="en-GB"/>
        </w:rPr>
        <w:lastRenderedPageBreak/>
        <w:t xml:space="preserve">32 </w:t>
      </w:r>
      <w:r w:rsidRPr="00944CAE">
        <w:rPr>
          <w:rFonts w:ascii="Arial" w:eastAsia="Times New Roman" w:hAnsi="Arial" w:cs="Arial"/>
          <w:b/>
          <w:lang w:eastAsia="en-GB"/>
        </w:rPr>
        <w:t>If you want to explain a response you’ve submitted on this page in more detail, please do so here:</w:t>
      </w:r>
    </w:p>
    <w:p w:rsidR="007439ED" w:rsidRPr="00944CAE" w:rsidRDefault="007439ED" w:rsidP="007439ED">
      <w:pPr>
        <w:spacing w:after="0" w:line="240" w:lineRule="auto"/>
        <w:rPr>
          <w:rFonts w:ascii="Arial" w:eastAsia="Times New Roman" w:hAnsi="Arial" w:cs="Arial"/>
          <w:color w:val="000000"/>
          <w:sz w:val="24"/>
          <w:szCs w:val="24"/>
          <w:lang w:eastAsia="en-GB"/>
        </w:rPr>
      </w:pPr>
    </w:p>
    <w:p w:rsidR="007439ED" w:rsidRPr="004C09CC" w:rsidRDefault="007439ED" w:rsidP="007439ED">
      <w:pPr>
        <w:spacing w:after="0" w:line="240" w:lineRule="auto"/>
        <w:rPr>
          <w:rFonts w:ascii="Arial" w:eastAsia="Times New Roman" w:hAnsi="Arial" w:cs="Arial"/>
          <w:i/>
          <w:lang w:eastAsia="en-GB"/>
        </w:rPr>
      </w:pPr>
      <w:r w:rsidRPr="004C09CC">
        <w:rPr>
          <w:rFonts w:ascii="Arial" w:eastAsia="Times New Roman" w:hAnsi="Arial" w:cs="Arial"/>
          <w:lang w:eastAsia="en-GB"/>
        </w:rPr>
        <w:t xml:space="preserve">We support the principle of the Disability Access Fund. However, we note that ISOS Partnership report </w:t>
      </w:r>
      <w:r w:rsidRPr="004C09CC">
        <w:rPr>
          <w:rFonts w:ascii="Arial" w:eastAsia="Times New Roman" w:hAnsi="Arial" w:cs="Arial"/>
          <w:i/>
          <w:lang w:eastAsia="en-GB"/>
        </w:rPr>
        <w:t>Research on funding for young people with special educational</w:t>
      </w:r>
    </w:p>
    <w:p w:rsidR="007439ED" w:rsidRPr="004C09CC" w:rsidRDefault="007439ED" w:rsidP="007439ED">
      <w:pPr>
        <w:spacing w:after="0" w:line="240" w:lineRule="auto"/>
        <w:rPr>
          <w:rFonts w:ascii="Arial" w:eastAsia="Times New Roman" w:hAnsi="Arial" w:cs="Arial"/>
          <w:lang w:eastAsia="en-GB"/>
        </w:rPr>
      </w:pPr>
      <w:r w:rsidRPr="004C09CC">
        <w:rPr>
          <w:rFonts w:ascii="Arial" w:eastAsia="Times New Roman" w:hAnsi="Arial" w:cs="Arial"/>
          <w:i/>
          <w:lang w:eastAsia="en-GB"/>
        </w:rPr>
        <w:t>needs</w:t>
      </w:r>
      <w:r w:rsidRPr="004C09CC">
        <w:rPr>
          <w:rFonts w:ascii="Arial" w:eastAsia="Times New Roman" w:hAnsi="Arial" w:cs="Arial"/>
          <w:lang w:eastAsia="en-GB"/>
        </w:rPr>
        <w:t xml:space="preserve"> produced for the Department for Education in 2015 did not recommend this route of funding for children with additional needs and emphasised the importance of tailored inclusion support based on the principles of clear expectations for providers, a concrete offer of additional advice and expertise from the local authority, and agreed criteria for accessing additional top-up funding. We also welcome the Department’s proposals to encourage local authorities to establish an inclusion fund and it is important that sufficient emphasis is put on this route of supporting providers. There is a risk that the Disability Access Fund could encourage local authorities to consider that their responsibility to support inclusion has been met through this payment, which would run counter to the aim of promoting broad improvements in inclusive practice in the early years. However, if administered effectively in tandem, we consider that the Disability Access Fund and Inclusion Fund have the potential to promote inclusive practice. </w:t>
      </w:r>
    </w:p>
    <w:p w:rsidR="007439ED" w:rsidRPr="004C09CC" w:rsidRDefault="007439ED" w:rsidP="007439ED">
      <w:pPr>
        <w:spacing w:after="0" w:line="240" w:lineRule="auto"/>
        <w:rPr>
          <w:rFonts w:ascii="Arial" w:eastAsia="Times New Roman" w:hAnsi="Arial" w:cs="Arial"/>
          <w:lang w:eastAsia="en-GB"/>
        </w:rPr>
      </w:pPr>
    </w:p>
    <w:p w:rsidR="007439ED" w:rsidRPr="004C09CC" w:rsidRDefault="007439ED" w:rsidP="007439ED">
      <w:pPr>
        <w:spacing w:after="0" w:line="240" w:lineRule="auto"/>
        <w:rPr>
          <w:rFonts w:ascii="Arial" w:eastAsia="Times New Roman" w:hAnsi="Arial" w:cs="Arial"/>
          <w:lang w:eastAsia="en-GB"/>
        </w:rPr>
      </w:pPr>
      <w:r w:rsidRPr="004C09CC">
        <w:rPr>
          <w:rFonts w:ascii="Arial" w:eastAsia="Times New Roman" w:hAnsi="Arial" w:cs="Arial"/>
          <w:lang w:eastAsia="en-GB"/>
        </w:rPr>
        <w:t>We would encourage the Department to consider extending the Disability Access Fund to the two</w:t>
      </w:r>
      <w:r w:rsidR="00322E76" w:rsidRPr="004C09CC">
        <w:rPr>
          <w:rFonts w:ascii="Arial" w:eastAsia="Times New Roman" w:hAnsi="Arial" w:cs="Arial"/>
          <w:lang w:eastAsia="en-GB"/>
        </w:rPr>
        <w:t xml:space="preserve"> </w:t>
      </w:r>
      <w:r w:rsidRPr="004C09CC">
        <w:rPr>
          <w:rFonts w:ascii="Arial" w:eastAsia="Times New Roman" w:hAnsi="Arial" w:cs="Arial"/>
          <w:lang w:eastAsia="en-GB"/>
        </w:rPr>
        <w:t>year</w:t>
      </w:r>
      <w:r w:rsidR="00322E76" w:rsidRPr="004C09CC">
        <w:rPr>
          <w:rFonts w:ascii="Arial" w:eastAsia="Times New Roman" w:hAnsi="Arial" w:cs="Arial"/>
          <w:lang w:eastAsia="en-GB"/>
        </w:rPr>
        <w:t xml:space="preserve"> </w:t>
      </w:r>
      <w:r w:rsidRPr="004C09CC">
        <w:rPr>
          <w:rFonts w:ascii="Arial" w:eastAsia="Times New Roman" w:hAnsi="Arial" w:cs="Arial"/>
          <w:lang w:eastAsia="en-GB"/>
        </w:rPr>
        <w:t>old offer. This would ensure consistent support and incentives for providers i</w:t>
      </w:r>
      <w:r w:rsidR="00322E76" w:rsidRPr="004C09CC">
        <w:rPr>
          <w:rFonts w:ascii="Arial" w:eastAsia="Times New Roman" w:hAnsi="Arial" w:cs="Arial"/>
          <w:lang w:eastAsia="en-GB"/>
        </w:rPr>
        <w:t xml:space="preserve">n the early years. Although two </w:t>
      </w:r>
      <w:r w:rsidRPr="004C09CC">
        <w:rPr>
          <w:rFonts w:ascii="Arial" w:eastAsia="Times New Roman" w:hAnsi="Arial" w:cs="Arial"/>
          <w:lang w:eastAsia="en-GB"/>
        </w:rPr>
        <w:t>year</w:t>
      </w:r>
      <w:r w:rsidR="00322E76" w:rsidRPr="004C09CC">
        <w:rPr>
          <w:rFonts w:ascii="Arial" w:eastAsia="Times New Roman" w:hAnsi="Arial" w:cs="Arial"/>
          <w:lang w:eastAsia="en-GB"/>
        </w:rPr>
        <w:t xml:space="preserve"> </w:t>
      </w:r>
      <w:r w:rsidRPr="004C09CC">
        <w:rPr>
          <w:rFonts w:ascii="Arial" w:eastAsia="Times New Roman" w:hAnsi="Arial" w:cs="Arial"/>
          <w:lang w:eastAsia="en-GB"/>
        </w:rPr>
        <w:t>olds eligible for free early education overwhelmingly access the offer in a private or voluntary setting, we do not have clear evidence on trends among eligible children with SEND. There is little reason to suggest that challenges and barriers for providers seeking to care for two</w:t>
      </w:r>
      <w:r w:rsidR="00322E76" w:rsidRPr="004C09CC">
        <w:rPr>
          <w:rFonts w:ascii="Arial" w:eastAsia="Times New Roman" w:hAnsi="Arial" w:cs="Arial"/>
          <w:lang w:eastAsia="en-GB"/>
        </w:rPr>
        <w:t xml:space="preserve"> </w:t>
      </w:r>
      <w:r w:rsidRPr="004C09CC">
        <w:rPr>
          <w:rFonts w:ascii="Arial" w:eastAsia="Times New Roman" w:hAnsi="Arial" w:cs="Arial"/>
          <w:lang w:eastAsia="en-GB"/>
        </w:rPr>
        <w:t>year</w:t>
      </w:r>
      <w:r w:rsidR="00322E76" w:rsidRPr="004C09CC">
        <w:rPr>
          <w:rFonts w:ascii="Arial" w:eastAsia="Times New Roman" w:hAnsi="Arial" w:cs="Arial"/>
          <w:lang w:eastAsia="en-GB"/>
        </w:rPr>
        <w:t xml:space="preserve"> </w:t>
      </w:r>
      <w:r w:rsidRPr="004C09CC">
        <w:rPr>
          <w:rFonts w:ascii="Arial" w:eastAsia="Times New Roman" w:hAnsi="Arial" w:cs="Arial"/>
          <w:lang w:eastAsia="en-GB"/>
        </w:rPr>
        <w:t>olds with SEND are any different to those affecting three and four</w:t>
      </w:r>
      <w:r w:rsidR="00322E76" w:rsidRPr="004C09CC">
        <w:rPr>
          <w:rFonts w:ascii="Arial" w:eastAsia="Times New Roman" w:hAnsi="Arial" w:cs="Arial"/>
          <w:lang w:eastAsia="en-GB"/>
        </w:rPr>
        <w:t xml:space="preserve"> </w:t>
      </w:r>
      <w:r w:rsidRPr="004C09CC">
        <w:rPr>
          <w:rFonts w:ascii="Arial" w:eastAsia="Times New Roman" w:hAnsi="Arial" w:cs="Arial"/>
          <w:lang w:eastAsia="en-GB"/>
        </w:rPr>
        <w:t>year</w:t>
      </w:r>
      <w:r w:rsidR="00322E76" w:rsidRPr="004C09CC">
        <w:rPr>
          <w:rFonts w:ascii="Arial" w:eastAsia="Times New Roman" w:hAnsi="Arial" w:cs="Arial"/>
          <w:lang w:eastAsia="en-GB"/>
        </w:rPr>
        <w:t xml:space="preserve"> </w:t>
      </w:r>
      <w:r w:rsidRPr="004C09CC">
        <w:rPr>
          <w:rFonts w:ascii="Arial" w:eastAsia="Times New Roman" w:hAnsi="Arial" w:cs="Arial"/>
          <w:lang w:eastAsia="en-GB"/>
        </w:rPr>
        <w:t>olds. In fact, some challenges are likely to be more acute because regulatory ratios are lower for this age group and private and voluntary settings are less likely to employ early years graduates with more confidence in caring for children with additional needs.</w:t>
      </w:r>
    </w:p>
    <w:p w:rsidR="007439ED" w:rsidRPr="004C09CC" w:rsidRDefault="007439ED" w:rsidP="007439ED">
      <w:pPr>
        <w:spacing w:after="0" w:line="240" w:lineRule="auto"/>
        <w:rPr>
          <w:rFonts w:ascii="Arial" w:eastAsia="Times New Roman" w:hAnsi="Arial" w:cs="Arial"/>
          <w:lang w:eastAsia="en-GB"/>
        </w:rPr>
      </w:pPr>
    </w:p>
    <w:p w:rsidR="007439ED" w:rsidRPr="004C09CC" w:rsidRDefault="007439ED" w:rsidP="007439ED">
      <w:pPr>
        <w:spacing w:after="0" w:line="240" w:lineRule="auto"/>
        <w:rPr>
          <w:rFonts w:ascii="Arial" w:eastAsia="Times New Roman" w:hAnsi="Arial" w:cs="Arial"/>
          <w:lang w:eastAsia="en-GB"/>
        </w:rPr>
      </w:pPr>
      <w:r w:rsidRPr="004C09CC">
        <w:rPr>
          <w:rFonts w:ascii="Arial" w:eastAsia="Times New Roman" w:hAnsi="Arial" w:cs="Arial"/>
          <w:lang w:eastAsia="en-GB"/>
        </w:rPr>
        <w:t>We agree that Disability Living Allowance (DLA) is an appropriate eligibility measure but note that this introduces a degree of inconsistency with the two</w:t>
      </w:r>
      <w:r w:rsidR="00322E76" w:rsidRPr="004C09CC">
        <w:rPr>
          <w:rFonts w:ascii="Arial" w:eastAsia="Times New Roman" w:hAnsi="Arial" w:cs="Arial"/>
          <w:lang w:eastAsia="en-GB"/>
        </w:rPr>
        <w:t xml:space="preserve"> </w:t>
      </w:r>
      <w:r w:rsidRPr="004C09CC">
        <w:rPr>
          <w:rFonts w:ascii="Arial" w:eastAsia="Times New Roman" w:hAnsi="Arial" w:cs="Arial"/>
          <w:lang w:eastAsia="en-GB"/>
        </w:rPr>
        <w:t>year</w:t>
      </w:r>
      <w:r w:rsidR="00322E76" w:rsidRPr="004C09CC">
        <w:rPr>
          <w:rFonts w:ascii="Arial" w:eastAsia="Times New Roman" w:hAnsi="Arial" w:cs="Arial"/>
          <w:lang w:eastAsia="en-GB"/>
        </w:rPr>
        <w:t xml:space="preserve"> </w:t>
      </w:r>
      <w:r w:rsidRPr="004C09CC">
        <w:rPr>
          <w:rFonts w:ascii="Arial" w:eastAsia="Times New Roman" w:hAnsi="Arial" w:cs="Arial"/>
          <w:lang w:eastAsia="en-GB"/>
        </w:rPr>
        <w:t>old offer, where children with an education, health and care plan are eligible for the offer. Anecdotal feedback suggests that in most cases children with an EHC plan will be eligible for DLA, but we would encourage the Department to explore whether any groups of children with SEND might be excluded by reli</w:t>
      </w:r>
      <w:r w:rsidR="00C16599">
        <w:rPr>
          <w:rFonts w:ascii="Arial" w:eastAsia="Times New Roman" w:hAnsi="Arial" w:cs="Arial"/>
          <w:lang w:eastAsia="en-GB"/>
        </w:rPr>
        <w:t>ance on DLA as the sole eligiblity</w:t>
      </w:r>
      <w:r w:rsidRPr="004C09CC">
        <w:rPr>
          <w:rFonts w:ascii="Arial" w:eastAsia="Times New Roman" w:hAnsi="Arial" w:cs="Arial"/>
          <w:lang w:eastAsia="en-GB"/>
        </w:rPr>
        <w:t xml:space="preserve"> criterion.</w:t>
      </w:r>
      <w:r w:rsidR="00637831" w:rsidRPr="004C09CC">
        <w:rPr>
          <w:rFonts w:ascii="Arial" w:eastAsia="Times New Roman" w:hAnsi="Arial" w:cs="Arial"/>
          <w:lang w:eastAsia="en-GB"/>
        </w:rPr>
        <w:t xml:space="preserve"> We would also encourage the </w:t>
      </w:r>
      <w:r w:rsidR="00322E76" w:rsidRPr="004C09CC">
        <w:rPr>
          <w:rFonts w:ascii="Arial" w:eastAsia="Times New Roman" w:hAnsi="Arial" w:cs="Arial"/>
          <w:lang w:eastAsia="en-GB"/>
        </w:rPr>
        <w:t>D</w:t>
      </w:r>
      <w:r w:rsidR="00637831" w:rsidRPr="004C09CC">
        <w:rPr>
          <w:rFonts w:ascii="Arial" w:eastAsia="Times New Roman" w:hAnsi="Arial" w:cs="Arial"/>
          <w:lang w:eastAsia="en-GB"/>
        </w:rPr>
        <w:t>epartment to</w:t>
      </w:r>
      <w:r w:rsidR="00F71126" w:rsidRPr="004C09CC">
        <w:rPr>
          <w:rFonts w:ascii="Arial" w:eastAsia="Times New Roman" w:hAnsi="Arial" w:cs="Arial"/>
          <w:lang w:eastAsia="en-GB"/>
        </w:rPr>
        <w:t xml:space="preserve"> work with the Department for Work and Pensions to</w:t>
      </w:r>
      <w:r w:rsidR="00637831" w:rsidRPr="004C09CC">
        <w:rPr>
          <w:rFonts w:ascii="Arial" w:eastAsia="Times New Roman" w:hAnsi="Arial" w:cs="Arial"/>
          <w:lang w:eastAsia="en-GB"/>
        </w:rPr>
        <w:t xml:space="preserve"> consider how best to </w:t>
      </w:r>
      <w:r w:rsidR="00F741E5" w:rsidRPr="004C09CC">
        <w:rPr>
          <w:rFonts w:ascii="Arial" w:eastAsia="Times New Roman" w:hAnsi="Arial" w:cs="Arial"/>
          <w:lang w:eastAsia="en-GB"/>
        </w:rPr>
        <w:t>increase uptake of DLA to ensure that this funding is reaching all eligible families. DLA uptake is cur</w:t>
      </w:r>
      <w:r w:rsidR="00322E76" w:rsidRPr="004C09CC">
        <w:rPr>
          <w:rFonts w:ascii="Arial" w:eastAsia="Times New Roman" w:hAnsi="Arial" w:cs="Arial"/>
          <w:lang w:eastAsia="en-GB"/>
        </w:rPr>
        <w:t>rently lower amongst the under-fives than the over-five</w:t>
      </w:r>
      <w:r w:rsidR="00F741E5" w:rsidRPr="004C09CC">
        <w:rPr>
          <w:rFonts w:ascii="Arial" w:eastAsia="Times New Roman" w:hAnsi="Arial" w:cs="Arial"/>
          <w:lang w:eastAsia="en-GB"/>
        </w:rPr>
        <w:t>s raising the possibility that some younger children may be missing out.</w:t>
      </w:r>
    </w:p>
    <w:p w:rsidR="007439ED" w:rsidRPr="004C09CC" w:rsidRDefault="007439ED" w:rsidP="007439ED">
      <w:pPr>
        <w:spacing w:after="0" w:line="240" w:lineRule="auto"/>
        <w:rPr>
          <w:rFonts w:ascii="Arial" w:eastAsia="Times New Roman" w:hAnsi="Arial" w:cs="Arial"/>
          <w:lang w:eastAsia="en-GB"/>
        </w:rPr>
      </w:pPr>
    </w:p>
    <w:p w:rsidR="007439ED" w:rsidRPr="004C09CC" w:rsidRDefault="007439ED" w:rsidP="007439ED">
      <w:pPr>
        <w:spacing w:after="0" w:line="240" w:lineRule="auto"/>
        <w:rPr>
          <w:rFonts w:ascii="Arial" w:eastAsia="Times New Roman" w:hAnsi="Arial" w:cs="Arial"/>
          <w:lang w:eastAsia="en-GB"/>
        </w:rPr>
      </w:pPr>
      <w:r w:rsidRPr="004C09CC">
        <w:rPr>
          <w:rFonts w:ascii="Arial" w:eastAsia="Times New Roman" w:hAnsi="Arial" w:cs="Arial"/>
          <w:lang w:eastAsia="en-GB"/>
        </w:rPr>
        <w:t xml:space="preserve">In the absence of a robust evaluation of providers’ experience of implementing the EYPP and its effectiveness in improving outcomes for children, we do not feel able to answer question 31. We also lack information on the amount of the proposed Disability Access Fund payment per eligible child. We will be interested in the feedback the Department receives from providers and would encourage officials to explore learning from implementation of the EYPP, particularly in regard to the amount of the payment. </w:t>
      </w:r>
    </w:p>
    <w:p w:rsidR="007439ED" w:rsidRPr="004C09CC" w:rsidRDefault="007439ED" w:rsidP="007439ED">
      <w:pPr>
        <w:spacing w:after="0" w:line="240" w:lineRule="auto"/>
        <w:rPr>
          <w:rFonts w:ascii="Arial" w:eastAsia="Times New Roman" w:hAnsi="Arial" w:cs="Arial"/>
          <w:lang w:eastAsia="en-GB"/>
        </w:rPr>
      </w:pPr>
    </w:p>
    <w:p w:rsidR="007439ED" w:rsidRPr="004C09CC" w:rsidRDefault="007439ED" w:rsidP="007439ED">
      <w:pPr>
        <w:spacing w:after="0" w:line="240" w:lineRule="auto"/>
        <w:rPr>
          <w:rFonts w:ascii="Arial" w:eastAsia="Times New Roman" w:hAnsi="Arial" w:cs="Arial"/>
          <w:b/>
          <w:lang w:eastAsia="en-GB"/>
        </w:rPr>
      </w:pPr>
      <w:r w:rsidRPr="004C09CC">
        <w:rPr>
          <w:rFonts w:ascii="Arial" w:eastAsia="Times New Roman" w:hAnsi="Arial" w:cs="Arial"/>
          <w:b/>
          <w:bCs/>
          <w:lang w:eastAsia="en-GB"/>
        </w:rPr>
        <w:t xml:space="preserve">33 </w:t>
      </w:r>
      <w:r w:rsidRPr="004C09CC">
        <w:rPr>
          <w:rFonts w:ascii="Arial" w:eastAsia="Times New Roman" w:hAnsi="Arial" w:cs="Arial"/>
          <w:b/>
          <w:lang w:eastAsia="en-GB"/>
        </w:rPr>
        <w:t>To what extent do you agree that a lack of clarity on how parents / childcare providers can access financial support results in children with special educational needs not receiving appropriate support? (We mean children who do not already have an Education, Health and Care Plan)</w:t>
      </w:r>
    </w:p>
    <w:p w:rsidR="007439ED" w:rsidRPr="004C09CC" w:rsidRDefault="007439ED" w:rsidP="007439ED">
      <w:pPr>
        <w:spacing w:after="0" w:line="240" w:lineRule="auto"/>
        <w:rPr>
          <w:rFonts w:ascii="Arial" w:eastAsia="Times New Roman" w:hAnsi="Arial" w:cs="Arial"/>
          <w:lang w:eastAsia="en-GB"/>
        </w:rPr>
      </w:pPr>
    </w:p>
    <w:p w:rsidR="007439ED" w:rsidRPr="004C09CC" w:rsidRDefault="007439ED" w:rsidP="007439ED">
      <w:pPr>
        <w:spacing w:after="0" w:line="240" w:lineRule="auto"/>
        <w:rPr>
          <w:rFonts w:ascii="Arial" w:eastAsia="Times New Roman" w:hAnsi="Arial" w:cs="Arial"/>
          <w:lang w:eastAsia="en-GB"/>
        </w:rPr>
      </w:pPr>
      <w:r w:rsidRPr="004C09CC">
        <w:rPr>
          <w:rFonts w:ascii="Arial" w:eastAsia="Times New Roman" w:hAnsi="Arial" w:cs="Arial"/>
        </w:rPr>
        <w:lastRenderedPageBreak/>
        <w:object w:dxaOrig="1440" w:dyaOrig="1440" w14:anchorId="07D505AA">
          <v:shape id="_x0000_i1530" type="#_x0000_t75" style="width:20.1pt;height:17.6pt" o:ole="">
            <v:imagedata r:id="rId10" o:title=""/>
          </v:shape>
          <w:control r:id="rId124" w:name="DefaultOcxName29" w:shapeid="_x0000_i1530"/>
        </w:object>
      </w:r>
      <w:r w:rsidRPr="004C09CC">
        <w:rPr>
          <w:rFonts w:ascii="Arial" w:eastAsia="Times New Roman" w:hAnsi="Arial" w:cs="Arial"/>
          <w:lang w:eastAsia="en-GB"/>
        </w:rPr>
        <w:t>Strongly agree </w:t>
      </w:r>
      <w:r w:rsidRPr="004C09CC">
        <w:rPr>
          <w:rFonts w:ascii="Arial" w:eastAsia="Times New Roman" w:hAnsi="Arial" w:cs="Arial"/>
          <w:lang w:eastAsia="en-GB"/>
        </w:rPr>
        <w:br/>
      </w:r>
      <w:r w:rsidRPr="004C09CC">
        <w:rPr>
          <w:rFonts w:ascii="Arial" w:eastAsia="Times New Roman" w:hAnsi="Arial" w:cs="Arial"/>
        </w:rPr>
        <w:object w:dxaOrig="1440" w:dyaOrig="1440" w14:anchorId="126C175E">
          <v:shape id="_x0000_i1533" type="#_x0000_t75" style="width:20.1pt;height:17.6pt" o:ole="">
            <v:imagedata r:id="rId8" o:title=""/>
          </v:shape>
          <w:control r:id="rId125" w:name="DefaultOcxName110" w:shapeid="_x0000_i1533"/>
        </w:object>
      </w:r>
      <w:r w:rsidRPr="004C09CC">
        <w:rPr>
          <w:rFonts w:ascii="Arial" w:eastAsia="Times New Roman" w:hAnsi="Arial" w:cs="Arial"/>
          <w:lang w:eastAsia="en-GB"/>
        </w:rPr>
        <w:t>Agree </w:t>
      </w:r>
      <w:r w:rsidRPr="004C09CC">
        <w:rPr>
          <w:rFonts w:ascii="Arial" w:eastAsia="Times New Roman" w:hAnsi="Arial" w:cs="Arial"/>
          <w:lang w:eastAsia="en-GB"/>
        </w:rPr>
        <w:br/>
      </w:r>
      <w:r w:rsidRPr="004C09CC">
        <w:rPr>
          <w:rFonts w:ascii="Arial" w:eastAsia="Times New Roman" w:hAnsi="Arial" w:cs="Arial"/>
        </w:rPr>
        <w:object w:dxaOrig="1440" w:dyaOrig="1440" w14:anchorId="0D62ED3D">
          <v:shape id="_x0000_i1536" type="#_x0000_t75" style="width:20.1pt;height:17.6pt" o:ole="">
            <v:imagedata r:id="rId10" o:title=""/>
          </v:shape>
          <w:control r:id="rId126" w:name="DefaultOcxName28" w:shapeid="_x0000_i1536"/>
        </w:object>
      </w:r>
      <w:r w:rsidRPr="004C09CC">
        <w:rPr>
          <w:rFonts w:ascii="Arial" w:eastAsia="Times New Roman" w:hAnsi="Arial" w:cs="Arial"/>
          <w:lang w:eastAsia="en-GB"/>
        </w:rPr>
        <w:t>Neither agree nor disagree </w:t>
      </w:r>
      <w:r w:rsidRPr="004C09CC">
        <w:rPr>
          <w:rFonts w:ascii="Arial" w:eastAsia="Times New Roman" w:hAnsi="Arial" w:cs="Arial"/>
          <w:lang w:eastAsia="en-GB"/>
        </w:rPr>
        <w:br/>
      </w:r>
      <w:r w:rsidRPr="004C09CC">
        <w:rPr>
          <w:rFonts w:ascii="Arial" w:eastAsia="Times New Roman" w:hAnsi="Arial" w:cs="Arial"/>
        </w:rPr>
        <w:object w:dxaOrig="1440" w:dyaOrig="1440" w14:anchorId="74DC00A6">
          <v:shape id="_x0000_i1539" type="#_x0000_t75" style="width:20.1pt;height:17.6pt" o:ole="">
            <v:imagedata r:id="rId10" o:title=""/>
          </v:shape>
          <w:control r:id="rId127" w:name="DefaultOcxName31" w:shapeid="_x0000_i1539"/>
        </w:object>
      </w:r>
      <w:r w:rsidRPr="004C09CC">
        <w:rPr>
          <w:rFonts w:ascii="Arial" w:eastAsia="Times New Roman" w:hAnsi="Arial" w:cs="Arial"/>
          <w:lang w:eastAsia="en-GB"/>
        </w:rPr>
        <w:t>Disagree </w:t>
      </w:r>
      <w:r w:rsidRPr="004C09CC">
        <w:rPr>
          <w:rFonts w:ascii="Arial" w:eastAsia="Times New Roman" w:hAnsi="Arial" w:cs="Arial"/>
          <w:lang w:eastAsia="en-GB"/>
        </w:rPr>
        <w:br/>
      </w:r>
      <w:r w:rsidRPr="004C09CC">
        <w:rPr>
          <w:rFonts w:ascii="Arial" w:eastAsia="Times New Roman" w:hAnsi="Arial" w:cs="Arial"/>
        </w:rPr>
        <w:object w:dxaOrig="1440" w:dyaOrig="1440" w14:anchorId="536FDD38">
          <v:shape id="_x0000_i1542" type="#_x0000_t75" style="width:20.1pt;height:17.6pt" o:ole="">
            <v:imagedata r:id="rId10" o:title=""/>
          </v:shape>
          <w:control r:id="rId128" w:name="DefaultOcxName41" w:shapeid="_x0000_i1542"/>
        </w:object>
      </w:r>
      <w:r w:rsidRPr="004C09CC">
        <w:rPr>
          <w:rFonts w:ascii="Arial" w:eastAsia="Times New Roman" w:hAnsi="Arial" w:cs="Arial"/>
          <w:lang w:eastAsia="en-GB"/>
        </w:rPr>
        <w:t>Strongly disagree </w:t>
      </w:r>
      <w:r w:rsidRPr="004C09CC">
        <w:rPr>
          <w:rFonts w:ascii="Arial" w:eastAsia="Times New Roman" w:hAnsi="Arial" w:cs="Arial"/>
          <w:lang w:eastAsia="en-GB"/>
        </w:rPr>
        <w:br/>
      </w:r>
    </w:p>
    <w:p w:rsidR="007439ED" w:rsidRPr="004C09CC" w:rsidRDefault="007439ED" w:rsidP="007439ED">
      <w:pPr>
        <w:spacing w:after="0" w:line="240" w:lineRule="auto"/>
        <w:rPr>
          <w:rFonts w:ascii="Arial" w:eastAsia="Times New Roman" w:hAnsi="Arial" w:cs="Arial"/>
          <w:b/>
          <w:color w:val="000000"/>
          <w:lang w:eastAsia="en-GB"/>
        </w:rPr>
      </w:pPr>
      <w:r w:rsidRPr="004C09CC">
        <w:rPr>
          <w:rFonts w:ascii="Arial" w:eastAsia="Times New Roman" w:hAnsi="Arial" w:cs="Arial"/>
          <w:b/>
          <w:bCs/>
          <w:lang w:eastAsia="en-GB"/>
        </w:rPr>
        <w:t xml:space="preserve">34 </w:t>
      </w:r>
      <w:r w:rsidRPr="004C09CC">
        <w:rPr>
          <w:rFonts w:ascii="Arial" w:eastAsia="Times New Roman" w:hAnsi="Arial" w:cs="Arial"/>
          <w:b/>
          <w:lang w:eastAsia="en-GB"/>
        </w:rPr>
        <w:t>When it comes to establishing an inclusion fund...</w:t>
      </w:r>
    </w:p>
    <w:p w:rsidR="007439ED" w:rsidRPr="004C09CC" w:rsidRDefault="007439ED" w:rsidP="007439ED">
      <w:pPr>
        <w:spacing w:after="0" w:line="240" w:lineRule="auto"/>
        <w:rPr>
          <w:rFonts w:ascii="Arial" w:eastAsia="Times New Roman" w:hAnsi="Arial" w:cs="Arial"/>
          <w:lang w:eastAsia="en-GB"/>
        </w:rPr>
      </w:pPr>
    </w:p>
    <w:tbl>
      <w:tblPr>
        <w:tblW w:w="9326" w:type="dxa"/>
        <w:tblCellMar>
          <w:top w:w="15" w:type="dxa"/>
          <w:left w:w="15" w:type="dxa"/>
          <w:bottom w:w="15" w:type="dxa"/>
          <w:right w:w="15" w:type="dxa"/>
        </w:tblCellMar>
        <w:tblLook w:val="04A0" w:firstRow="1" w:lastRow="0" w:firstColumn="1" w:lastColumn="0" w:noHBand="0" w:noVBand="1"/>
      </w:tblPr>
      <w:tblGrid>
        <w:gridCol w:w="1934"/>
        <w:gridCol w:w="1425"/>
        <w:gridCol w:w="1276"/>
        <w:gridCol w:w="1559"/>
        <w:gridCol w:w="1417"/>
        <w:gridCol w:w="1715"/>
      </w:tblGrid>
      <w:tr w:rsidR="007439ED" w:rsidRPr="004C09CC" w:rsidTr="00043B31">
        <w:trPr>
          <w:trHeight w:val="917"/>
          <w:tblHeader/>
        </w:trPr>
        <w:tc>
          <w:tcPr>
            <w:tcW w:w="1934" w:type="dxa"/>
            <w:shd w:val="clear" w:color="auto" w:fill="auto"/>
            <w:tcMar>
              <w:top w:w="168" w:type="dxa"/>
              <w:left w:w="240" w:type="dxa"/>
              <w:bottom w:w="192" w:type="dxa"/>
              <w:right w:w="0" w:type="dxa"/>
            </w:tcMar>
            <w:vAlign w:val="center"/>
            <w:hideMark/>
          </w:tcPr>
          <w:p w:rsidR="007439ED" w:rsidRPr="004C09CC" w:rsidRDefault="007439ED" w:rsidP="00CA2DC5">
            <w:pPr>
              <w:spacing w:after="0" w:line="312" w:lineRule="atLeast"/>
              <w:rPr>
                <w:rFonts w:ascii="Arial" w:eastAsia="Times New Roman" w:hAnsi="Arial" w:cs="Arial"/>
                <w:color w:val="666666"/>
                <w:lang w:eastAsia="en-GB"/>
              </w:rPr>
            </w:pPr>
          </w:p>
        </w:tc>
        <w:tc>
          <w:tcPr>
            <w:tcW w:w="1425" w:type="dxa"/>
            <w:shd w:val="clear" w:color="auto" w:fill="auto"/>
            <w:tcMar>
              <w:top w:w="168" w:type="dxa"/>
              <w:left w:w="120" w:type="dxa"/>
              <w:bottom w:w="192" w:type="dxa"/>
              <w:right w:w="120" w:type="dxa"/>
            </w:tcMar>
            <w:hideMark/>
          </w:tcPr>
          <w:p w:rsidR="007439ED" w:rsidRPr="004C09CC" w:rsidRDefault="007439ED" w:rsidP="00CA2DC5">
            <w:pPr>
              <w:spacing w:after="0" w:line="312" w:lineRule="atLeast"/>
              <w:jc w:val="center"/>
              <w:rPr>
                <w:rFonts w:ascii="Arial" w:eastAsia="Times New Roman" w:hAnsi="Arial" w:cs="Arial"/>
                <w:lang w:eastAsia="en-GB"/>
              </w:rPr>
            </w:pPr>
            <w:r w:rsidRPr="004C09CC">
              <w:rPr>
                <w:rFonts w:ascii="Arial" w:eastAsia="Times New Roman" w:hAnsi="Arial" w:cs="Arial"/>
                <w:lang w:eastAsia="en-GB"/>
              </w:rPr>
              <w:t>Strongly agree</w:t>
            </w:r>
          </w:p>
        </w:tc>
        <w:tc>
          <w:tcPr>
            <w:tcW w:w="1276" w:type="dxa"/>
            <w:shd w:val="clear" w:color="auto" w:fill="auto"/>
            <w:tcMar>
              <w:top w:w="168" w:type="dxa"/>
              <w:left w:w="120" w:type="dxa"/>
              <w:bottom w:w="192" w:type="dxa"/>
              <w:right w:w="120" w:type="dxa"/>
            </w:tcMar>
            <w:hideMark/>
          </w:tcPr>
          <w:p w:rsidR="007439ED" w:rsidRPr="004C09CC" w:rsidRDefault="007439ED" w:rsidP="00CA2DC5">
            <w:pPr>
              <w:spacing w:after="0" w:line="312" w:lineRule="atLeast"/>
              <w:jc w:val="center"/>
              <w:rPr>
                <w:rFonts w:ascii="Arial" w:eastAsia="Times New Roman" w:hAnsi="Arial" w:cs="Arial"/>
                <w:lang w:eastAsia="en-GB"/>
              </w:rPr>
            </w:pPr>
            <w:r w:rsidRPr="004C09CC">
              <w:rPr>
                <w:rFonts w:ascii="Arial" w:eastAsia="Times New Roman" w:hAnsi="Arial" w:cs="Arial"/>
                <w:lang w:eastAsia="en-GB"/>
              </w:rPr>
              <w:t>Agree</w:t>
            </w:r>
          </w:p>
        </w:tc>
        <w:tc>
          <w:tcPr>
            <w:tcW w:w="1559" w:type="dxa"/>
            <w:shd w:val="clear" w:color="auto" w:fill="auto"/>
            <w:tcMar>
              <w:top w:w="168" w:type="dxa"/>
              <w:left w:w="120" w:type="dxa"/>
              <w:bottom w:w="192" w:type="dxa"/>
              <w:right w:w="120" w:type="dxa"/>
            </w:tcMar>
            <w:hideMark/>
          </w:tcPr>
          <w:p w:rsidR="007439ED" w:rsidRPr="004C09CC" w:rsidRDefault="007439ED" w:rsidP="00CA2DC5">
            <w:pPr>
              <w:spacing w:after="0" w:line="312" w:lineRule="atLeast"/>
              <w:jc w:val="center"/>
              <w:rPr>
                <w:rFonts w:ascii="Arial" w:eastAsia="Times New Roman" w:hAnsi="Arial" w:cs="Arial"/>
                <w:lang w:eastAsia="en-GB"/>
              </w:rPr>
            </w:pPr>
            <w:r w:rsidRPr="004C09CC">
              <w:rPr>
                <w:rFonts w:ascii="Arial" w:eastAsia="Times New Roman" w:hAnsi="Arial" w:cs="Arial"/>
                <w:lang w:eastAsia="en-GB"/>
              </w:rPr>
              <w:t>Neither agree nor disagree</w:t>
            </w:r>
          </w:p>
        </w:tc>
        <w:tc>
          <w:tcPr>
            <w:tcW w:w="1417" w:type="dxa"/>
            <w:shd w:val="clear" w:color="auto" w:fill="auto"/>
            <w:tcMar>
              <w:top w:w="168" w:type="dxa"/>
              <w:left w:w="120" w:type="dxa"/>
              <w:bottom w:w="192" w:type="dxa"/>
              <w:right w:w="120" w:type="dxa"/>
            </w:tcMar>
            <w:hideMark/>
          </w:tcPr>
          <w:p w:rsidR="007439ED" w:rsidRPr="004C09CC" w:rsidRDefault="007439ED" w:rsidP="00CA2DC5">
            <w:pPr>
              <w:spacing w:after="0" w:line="312" w:lineRule="atLeast"/>
              <w:jc w:val="center"/>
              <w:rPr>
                <w:rFonts w:ascii="Arial" w:eastAsia="Times New Roman" w:hAnsi="Arial" w:cs="Arial"/>
                <w:lang w:eastAsia="en-GB"/>
              </w:rPr>
            </w:pPr>
            <w:r w:rsidRPr="004C09CC">
              <w:rPr>
                <w:rFonts w:ascii="Arial" w:eastAsia="Times New Roman" w:hAnsi="Arial" w:cs="Arial"/>
                <w:lang w:eastAsia="en-GB"/>
              </w:rPr>
              <w:t>Disagree</w:t>
            </w:r>
          </w:p>
        </w:tc>
        <w:tc>
          <w:tcPr>
            <w:tcW w:w="1715" w:type="dxa"/>
            <w:shd w:val="clear" w:color="auto" w:fill="auto"/>
            <w:tcMar>
              <w:top w:w="168" w:type="dxa"/>
              <w:left w:w="120" w:type="dxa"/>
              <w:bottom w:w="192" w:type="dxa"/>
              <w:right w:w="120" w:type="dxa"/>
            </w:tcMar>
            <w:hideMark/>
          </w:tcPr>
          <w:p w:rsidR="007439ED" w:rsidRPr="004C09CC" w:rsidRDefault="007439ED" w:rsidP="00CA2DC5">
            <w:pPr>
              <w:spacing w:after="0" w:line="312" w:lineRule="atLeast"/>
              <w:jc w:val="center"/>
              <w:rPr>
                <w:rFonts w:ascii="Arial" w:eastAsia="Times New Roman" w:hAnsi="Arial" w:cs="Arial"/>
                <w:lang w:eastAsia="en-GB"/>
              </w:rPr>
            </w:pPr>
            <w:r w:rsidRPr="004C09CC">
              <w:rPr>
                <w:rFonts w:ascii="Arial" w:eastAsia="Times New Roman" w:hAnsi="Arial" w:cs="Arial"/>
                <w:lang w:eastAsia="en-GB"/>
              </w:rPr>
              <w:t>Strongly disagree</w:t>
            </w:r>
          </w:p>
        </w:tc>
      </w:tr>
      <w:tr w:rsidR="007439ED" w:rsidRPr="004C09CC" w:rsidTr="00043B31">
        <w:trPr>
          <w:trHeight w:val="931"/>
        </w:trPr>
        <w:tc>
          <w:tcPr>
            <w:tcW w:w="1934" w:type="dxa"/>
            <w:tcBorders>
              <w:top w:val="single" w:sz="6" w:space="0" w:color="DDDDDD"/>
            </w:tcBorders>
            <w:shd w:val="clear" w:color="auto" w:fill="auto"/>
            <w:tcMar>
              <w:top w:w="168" w:type="dxa"/>
              <w:left w:w="240" w:type="dxa"/>
              <w:bottom w:w="192" w:type="dxa"/>
              <w:right w:w="0" w:type="dxa"/>
            </w:tcMar>
            <w:vAlign w:val="center"/>
            <w:hideMark/>
          </w:tcPr>
          <w:p w:rsidR="007439ED" w:rsidRPr="004C09CC" w:rsidRDefault="007439ED" w:rsidP="00CA2DC5">
            <w:pPr>
              <w:spacing w:after="0" w:line="312" w:lineRule="atLeast"/>
              <w:rPr>
                <w:rFonts w:ascii="Arial" w:eastAsia="Times New Roman" w:hAnsi="Arial" w:cs="Arial"/>
                <w:color w:val="666666"/>
                <w:lang w:eastAsia="en-GB"/>
              </w:rPr>
            </w:pPr>
            <w:r w:rsidRPr="004C09CC">
              <w:rPr>
                <w:rFonts w:ascii="Arial" w:eastAsia="Times New Roman" w:hAnsi="Arial" w:cs="Arial"/>
                <w:color w:val="666666"/>
                <w:lang w:eastAsia="en-GB"/>
              </w:rPr>
              <w:t>Should local authorities be required to establish an inclusion fund?</w:t>
            </w:r>
          </w:p>
        </w:tc>
        <w:tc>
          <w:tcPr>
            <w:tcW w:w="1425" w:type="dxa"/>
            <w:tcBorders>
              <w:top w:val="single" w:sz="6" w:space="0" w:color="DDDDDD"/>
            </w:tcBorders>
            <w:shd w:val="clear" w:color="auto" w:fill="auto"/>
            <w:tcMar>
              <w:top w:w="168" w:type="dxa"/>
              <w:left w:w="120" w:type="dxa"/>
              <w:bottom w:w="192" w:type="dxa"/>
              <w:right w:w="120" w:type="dxa"/>
            </w:tcMar>
            <w:vAlign w:val="center"/>
            <w:hideMark/>
          </w:tcPr>
          <w:p w:rsidR="007439ED" w:rsidRPr="004C09CC" w:rsidRDefault="007439ED" w:rsidP="00CA2DC5">
            <w:pPr>
              <w:spacing w:after="0" w:line="312" w:lineRule="atLeast"/>
              <w:rPr>
                <w:rFonts w:ascii="Arial" w:eastAsia="Times New Roman" w:hAnsi="Arial" w:cs="Arial"/>
                <w:lang w:eastAsia="en-GB"/>
              </w:rPr>
            </w:pPr>
            <w:r w:rsidRPr="004C09CC">
              <w:rPr>
                <w:rFonts w:ascii="Arial" w:eastAsia="Times New Roman" w:hAnsi="Arial" w:cs="Arial"/>
              </w:rPr>
              <w:object w:dxaOrig="1440" w:dyaOrig="1440" w14:anchorId="20D2515C">
                <v:shape id="_x0000_i1545" type="#_x0000_t75" style="width:20.1pt;height:17.6pt" o:ole="">
                  <v:imagedata r:id="rId8" o:title=""/>
                </v:shape>
                <w:control r:id="rId129" w:name="DefaultOcxName51" w:shapeid="_x0000_i1545"/>
              </w:object>
            </w:r>
          </w:p>
        </w:tc>
        <w:tc>
          <w:tcPr>
            <w:tcW w:w="1276" w:type="dxa"/>
            <w:tcBorders>
              <w:top w:val="single" w:sz="6" w:space="0" w:color="DDDDDD"/>
            </w:tcBorders>
            <w:shd w:val="clear" w:color="auto" w:fill="auto"/>
            <w:tcMar>
              <w:top w:w="168" w:type="dxa"/>
              <w:left w:w="120" w:type="dxa"/>
              <w:bottom w:w="192" w:type="dxa"/>
              <w:right w:w="120" w:type="dxa"/>
            </w:tcMar>
            <w:vAlign w:val="center"/>
            <w:hideMark/>
          </w:tcPr>
          <w:p w:rsidR="007439ED" w:rsidRPr="004C09CC" w:rsidRDefault="007439ED" w:rsidP="00CA2DC5">
            <w:pPr>
              <w:spacing w:after="0" w:line="312" w:lineRule="atLeast"/>
              <w:rPr>
                <w:rFonts w:ascii="Arial" w:eastAsia="Times New Roman" w:hAnsi="Arial" w:cs="Arial"/>
                <w:lang w:eastAsia="en-GB"/>
              </w:rPr>
            </w:pPr>
            <w:r w:rsidRPr="004C09CC">
              <w:rPr>
                <w:rFonts w:ascii="Arial" w:eastAsia="Times New Roman" w:hAnsi="Arial" w:cs="Arial"/>
              </w:rPr>
              <w:object w:dxaOrig="1440" w:dyaOrig="1440" w14:anchorId="6BE4B3CD">
                <v:shape id="_x0000_i1548" type="#_x0000_t75" style="width:20.1pt;height:17.6pt" o:ole="">
                  <v:imagedata r:id="rId10" o:title=""/>
                </v:shape>
                <w:control r:id="rId130" w:name="DefaultOcxName61" w:shapeid="_x0000_i1548"/>
              </w:object>
            </w:r>
          </w:p>
        </w:tc>
        <w:tc>
          <w:tcPr>
            <w:tcW w:w="1559" w:type="dxa"/>
            <w:tcBorders>
              <w:top w:val="single" w:sz="6" w:space="0" w:color="DDDDDD"/>
            </w:tcBorders>
            <w:shd w:val="clear" w:color="auto" w:fill="auto"/>
            <w:tcMar>
              <w:top w:w="168" w:type="dxa"/>
              <w:left w:w="120" w:type="dxa"/>
              <w:bottom w:w="192" w:type="dxa"/>
              <w:right w:w="120" w:type="dxa"/>
            </w:tcMar>
            <w:vAlign w:val="center"/>
            <w:hideMark/>
          </w:tcPr>
          <w:p w:rsidR="007439ED" w:rsidRPr="004C09CC" w:rsidRDefault="007439ED" w:rsidP="00CA2DC5">
            <w:pPr>
              <w:spacing w:after="0" w:line="312" w:lineRule="atLeast"/>
              <w:rPr>
                <w:rFonts w:ascii="Arial" w:eastAsia="Times New Roman" w:hAnsi="Arial" w:cs="Arial"/>
                <w:lang w:eastAsia="en-GB"/>
              </w:rPr>
            </w:pPr>
            <w:r w:rsidRPr="004C09CC">
              <w:rPr>
                <w:rFonts w:ascii="Arial" w:eastAsia="Times New Roman" w:hAnsi="Arial" w:cs="Arial"/>
              </w:rPr>
              <w:object w:dxaOrig="1440" w:dyaOrig="1440" w14:anchorId="264DC134">
                <v:shape id="_x0000_i1551" type="#_x0000_t75" style="width:20.1pt;height:17.6pt" o:ole="">
                  <v:imagedata r:id="rId10" o:title=""/>
                </v:shape>
                <w:control r:id="rId131" w:name="DefaultOcxName71" w:shapeid="_x0000_i1551"/>
              </w:object>
            </w:r>
          </w:p>
        </w:tc>
        <w:tc>
          <w:tcPr>
            <w:tcW w:w="1417" w:type="dxa"/>
            <w:tcBorders>
              <w:top w:val="single" w:sz="6" w:space="0" w:color="DDDDDD"/>
            </w:tcBorders>
            <w:shd w:val="clear" w:color="auto" w:fill="auto"/>
            <w:tcMar>
              <w:top w:w="168" w:type="dxa"/>
              <w:left w:w="120" w:type="dxa"/>
              <w:bottom w:w="192" w:type="dxa"/>
              <w:right w:w="120" w:type="dxa"/>
            </w:tcMar>
            <w:vAlign w:val="center"/>
            <w:hideMark/>
          </w:tcPr>
          <w:p w:rsidR="007439ED" w:rsidRPr="004C09CC" w:rsidRDefault="007439ED" w:rsidP="00CA2DC5">
            <w:pPr>
              <w:spacing w:after="0" w:line="312" w:lineRule="atLeast"/>
              <w:rPr>
                <w:rFonts w:ascii="Arial" w:eastAsia="Times New Roman" w:hAnsi="Arial" w:cs="Arial"/>
                <w:lang w:eastAsia="en-GB"/>
              </w:rPr>
            </w:pPr>
            <w:r w:rsidRPr="004C09CC">
              <w:rPr>
                <w:rFonts w:ascii="Arial" w:eastAsia="Times New Roman" w:hAnsi="Arial" w:cs="Arial"/>
              </w:rPr>
              <w:object w:dxaOrig="1440" w:dyaOrig="1440" w14:anchorId="42129B3A">
                <v:shape id="_x0000_i1554" type="#_x0000_t75" style="width:20.1pt;height:17.6pt" o:ole="">
                  <v:imagedata r:id="rId10" o:title=""/>
                </v:shape>
                <w:control r:id="rId132" w:name="DefaultOcxName81" w:shapeid="_x0000_i1554"/>
              </w:object>
            </w:r>
          </w:p>
        </w:tc>
        <w:tc>
          <w:tcPr>
            <w:tcW w:w="1715" w:type="dxa"/>
            <w:tcBorders>
              <w:top w:val="single" w:sz="6" w:space="0" w:color="DDDDDD"/>
            </w:tcBorders>
            <w:shd w:val="clear" w:color="auto" w:fill="auto"/>
            <w:tcMar>
              <w:top w:w="168" w:type="dxa"/>
              <w:left w:w="120" w:type="dxa"/>
              <w:bottom w:w="192" w:type="dxa"/>
              <w:right w:w="120" w:type="dxa"/>
            </w:tcMar>
            <w:vAlign w:val="center"/>
            <w:hideMark/>
          </w:tcPr>
          <w:p w:rsidR="007439ED" w:rsidRPr="004C09CC" w:rsidRDefault="007439ED" w:rsidP="00CA2DC5">
            <w:pPr>
              <w:spacing w:after="0" w:line="312" w:lineRule="atLeast"/>
              <w:rPr>
                <w:rFonts w:ascii="Arial" w:eastAsia="Times New Roman" w:hAnsi="Arial" w:cs="Arial"/>
                <w:lang w:eastAsia="en-GB"/>
              </w:rPr>
            </w:pPr>
            <w:r w:rsidRPr="004C09CC">
              <w:rPr>
                <w:rFonts w:ascii="Arial" w:eastAsia="Times New Roman" w:hAnsi="Arial" w:cs="Arial"/>
              </w:rPr>
              <w:object w:dxaOrig="1440" w:dyaOrig="1440" w14:anchorId="07624C4F">
                <v:shape id="_x0000_i1557" type="#_x0000_t75" style="width:20.1pt;height:17.6pt" o:ole="">
                  <v:imagedata r:id="rId10" o:title=""/>
                </v:shape>
                <w:control r:id="rId133" w:name="DefaultOcxName9" w:shapeid="_x0000_i1557"/>
              </w:object>
            </w:r>
          </w:p>
        </w:tc>
      </w:tr>
      <w:tr w:rsidR="007439ED" w:rsidRPr="004C09CC" w:rsidTr="00043B31">
        <w:trPr>
          <w:trHeight w:val="1528"/>
        </w:trPr>
        <w:tc>
          <w:tcPr>
            <w:tcW w:w="1934" w:type="dxa"/>
            <w:tcBorders>
              <w:top w:val="single" w:sz="6" w:space="0" w:color="DDDDDD"/>
            </w:tcBorders>
            <w:shd w:val="clear" w:color="auto" w:fill="auto"/>
            <w:tcMar>
              <w:top w:w="168" w:type="dxa"/>
              <w:left w:w="240" w:type="dxa"/>
              <w:bottom w:w="192" w:type="dxa"/>
              <w:right w:w="0" w:type="dxa"/>
            </w:tcMar>
            <w:vAlign w:val="center"/>
            <w:hideMark/>
          </w:tcPr>
          <w:p w:rsidR="007439ED" w:rsidRPr="004C09CC" w:rsidRDefault="007439ED" w:rsidP="00CA2DC5">
            <w:pPr>
              <w:spacing w:after="0" w:line="312" w:lineRule="atLeast"/>
              <w:rPr>
                <w:rFonts w:ascii="Arial" w:eastAsia="Times New Roman" w:hAnsi="Arial" w:cs="Arial"/>
                <w:color w:val="666666"/>
                <w:lang w:eastAsia="en-GB"/>
              </w:rPr>
            </w:pPr>
            <w:r w:rsidRPr="004C09CC">
              <w:rPr>
                <w:rFonts w:ascii="Arial" w:eastAsia="Times New Roman" w:hAnsi="Arial" w:cs="Arial"/>
                <w:color w:val="666666"/>
                <w:lang w:eastAsia="en-GB"/>
              </w:rPr>
              <w:t>Would an inclusion fund help improve the supply of appropriate support children receive when in an early years setting?</w:t>
            </w:r>
          </w:p>
        </w:tc>
        <w:tc>
          <w:tcPr>
            <w:tcW w:w="1425" w:type="dxa"/>
            <w:tcBorders>
              <w:top w:val="single" w:sz="6" w:space="0" w:color="DDDDDD"/>
            </w:tcBorders>
            <w:shd w:val="clear" w:color="auto" w:fill="auto"/>
            <w:tcMar>
              <w:top w:w="168" w:type="dxa"/>
              <w:left w:w="120" w:type="dxa"/>
              <w:bottom w:w="192" w:type="dxa"/>
              <w:right w:w="120" w:type="dxa"/>
            </w:tcMar>
            <w:vAlign w:val="center"/>
            <w:hideMark/>
          </w:tcPr>
          <w:p w:rsidR="007439ED" w:rsidRPr="004C09CC" w:rsidRDefault="007439ED" w:rsidP="00CA2DC5">
            <w:pPr>
              <w:spacing w:after="0" w:line="312" w:lineRule="atLeast"/>
              <w:rPr>
                <w:rFonts w:ascii="Arial" w:eastAsia="Times New Roman" w:hAnsi="Arial" w:cs="Arial"/>
                <w:lang w:eastAsia="en-GB"/>
              </w:rPr>
            </w:pPr>
            <w:r w:rsidRPr="004C09CC">
              <w:rPr>
                <w:rFonts w:ascii="Arial" w:eastAsia="Times New Roman" w:hAnsi="Arial" w:cs="Arial"/>
              </w:rPr>
              <w:object w:dxaOrig="1440" w:dyaOrig="1440" w14:anchorId="715563A0">
                <v:shape id="_x0000_i1560" type="#_x0000_t75" style="width:20.1pt;height:17.6pt" o:ole="">
                  <v:imagedata r:id="rId8" o:title=""/>
                </v:shape>
                <w:control r:id="rId134" w:name="DefaultOcxName10" w:shapeid="_x0000_i1560"/>
              </w:object>
            </w:r>
          </w:p>
        </w:tc>
        <w:tc>
          <w:tcPr>
            <w:tcW w:w="1276" w:type="dxa"/>
            <w:tcBorders>
              <w:top w:val="single" w:sz="6" w:space="0" w:color="DDDDDD"/>
            </w:tcBorders>
            <w:shd w:val="clear" w:color="auto" w:fill="auto"/>
            <w:tcMar>
              <w:top w:w="168" w:type="dxa"/>
              <w:left w:w="120" w:type="dxa"/>
              <w:bottom w:w="192" w:type="dxa"/>
              <w:right w:w="120" w:type="dxa"/>
            </w:tcMar>
            <w:vAlign w:val="center"/>
            <w:hideMark/>
          </w:tcPr>
          <w:p w:rsidR="007439ED" w:rsidRPr="004C09CC" w:rsidRDefault="007439ED" w:rsidP="00CA2DC5">
            <w:pPr>
              <w:spacing w:after="0" w:line="312" w:lineRule="atLeast"/>
              <w:rPr>
                <w:rFonts w:ascii="Arial" w:eastAsia="Times New Roman" w:hAnsi="Arial" w:cs="Arial"/>
                <w:lang w:eastAsia="en-GB"/>
              </w:rPr>
            </w:pPr>
            <w:r w:rsidRPr="004C09CC">
              <w:rPr>
                <w:rFonts w:ascii="Arial" w:eastAsia="Times New Roman" w:hAnsi="Arial" w:cs="Arial"/>
              </w:rPr>
              <w:object w:dxaOrig="1440" w:dyaOrig="1440" w14:anchorId="521ECE66">
                <v:shape id="_x0000_i1563" type="#_x0000_t75" style="width:20.1pt;height:17.6pt" o:ole="">
                  <v:imagedata r:id="rId10" o:title=""/>
                </v:shape>
                <w:control r:id="rId135" w:name="DefaultOcxName11" w:shapeid="_x0000_i1563"/>
              </w:object>
            </w:r>
          </w:p>
        </w:tc>
        <w:tc>
          <w:tcPr>
            <w:tcW w:w="1559" w:type="dxa"/>
            <w:tcBorders>
              <w:top w:val="single" w:sz="6" w:space="0" w:color="DDDDDD"/>
            </w:tcBorders>
            <w:shd w:val="clear" w:color="auto" w:fill="auto"/>
            <w:tcMar>
              <w:top w:w="168" w:type="dxa"/>
              <w:left w:w="120" w:type="dxa"/>
              <w:bottom w:w="192" w:type="dxa"/>
              <w:right w:w="120" w:type="dxa"/>
            </w:tcMar>
            <w:vAlign w:val="center"/>
            <w:hideMark/>
          </w:tcPr>
          <w:p w:rsidR="007439ED" w:rsidRPr="004C09CC" w:rsidRDefault="007439ED" w:rsidP="00CA2DC5">
            <w:pPr>
              <w:spacing w:after="0" w:line="312" w:lineRule="atLeast"/>
              <w:rPr>
                <w:rFonts w:ascii="Arial" w:eastAsia="Times New Roman" w:hAnsi="Arial" w:cs="Arial"/>
                <w:lang w:eastAsia="en-GB"/>
              </w:rPr>
            </w:pPr>
            <w:r w:rsidRPr="004C09CC">
              <w:rPr>
                <w:rFonts w:ascii="Arial" w:eastAsia="Times New Roman" w:hAnsi="Arial" w:cs="Arial"/>
              </w:rPr>
              <w:object w:dxaOrig="1440" w:dyaOrig="1440" w14:anchorId="1F002DFF">
                <v:shape id="_x0000_i1566" type="#_x0000_t75" style="width:20.1pt;height:17.6pt" o:ole="">
                  <v:imagedata r:id="rId10" o:title=""/>
                </v:shape>
                <w:control r:id="rId136" w:name="DefaultOcxName12" w:shapeid="_x0000_i1566"/>
              </w:object>
            </w:r>
          </w:p>
        </w:tc>
        <w:tc>
          <w:tcPr>
            <w:tcW w:w="1417" w:type="dxa"/>
            <w:tcBorders>
              <w:top w:val="single" w:sz="6" w:space="0" w:color="DDDDDD"/>
            </w:tcBorders>
            <w:shd w:val="clear" w:color="auto" w:fill="auto"/>
            <w:tcMar>
              <w:top w:w="168" w:type="dxa"/>
              <w:left w:w="120" w:type="dxa"/>
              <w:bottom w:w="192" w:type="dxa"/>
              <w:right w:w="120" w:type="dxa"/>
            </w:tcMar>
            <w:vAlign w:val="center"/>
            <w:hideMark/>
          </w:tcPr>
          <w:p w:rsidR="007439ED" w:rsidRPr="004C09CC" w:rsidRDefault="007439ED" w:rsidP="00CA2DC5">
            <w:pPr>
              <w:spacing w:after="0" w:line="312" w:lineRule="atLeast"/>
              <w:rPr>
                <w:rFonts w:ascii="Arial" w:eastAsia="Times New Roman" w:hAnsi="Arial" w:cs="Arial"/>
                <w:lang w:eastAsia="en-GB"/>
              </w:rPr>
            </w:pPr>
            <w:r w:rsidRPr="004C09CC">
              <w:rPr>
                <w:rFonts w:ascii="Arial" w:eastAsia="Times New Roman" w:hAnsi="Arial" w:cs="Arial"/>
              </w:rPr>
              <w:object w:dxaOrig="1440" w:dyaOrig="1440" w14:anchorId="371C7A74">
                <v:shape id="_x0000_i1569" type="#_x0000_t75" style="width:20.1pt;height:17.6pt" o:ole="">
                  <v:imagedata r:id="rId10" o:title=""/>
                </v:shape>
                <w:control r:id="rId137" w:name="DefaultOcxName13" w:shapeid="_x0000_i1569"/>
              </w:object>
            </w:r>
          </w:p>
        </w:tc>
        <w:tc>
          <w:tcPr>
            <w:tcW w:w="1715" w:type="dxa"/>
            <w:tcBorders>
              <w:top w:val="single" w:sz="6" w:space="0" w:color="DDDDDD"/>
            </w:tcBorders>
            <w:shd w:val="clear" w:color="auto" w:fill="auto"/>
            <w:tcMar>
              <w:top w:w="168" w:type="dxa"/>
              <w:left w:w="120" w:type="dxa"/>
              <w:bottom w:w="192" w:type="dxa"/>
              <w:right w:w="120" w:type="dxa"/>
            </w:tcMar>
            <w:vAlign w:val="center"/>
            <w:hideMark/>
          </w:tcPr>
          <w:p w:rsidR="007439ED" w:rsidRPr="004C09CC" w:rsidRDefault="007439ED" w:rsidP="00CA2DC5">
            <w:pPr>
              <w:spacing w:after="0" w:line="312" w:lineRule="atLeast"/>
              <w:rPr>
                <w:rFonts w:ascii="Arial" w:eastAsia="Times New Roman" w:hAnsi="Arial" w:cs="Arial"/>
                <w:lang w:eastAsia="en-GB"/>
              </w:rPr>
            </w:pPr>
            <w:r w:rsidRPr="004C09CC">
              <w:rPr>
                <w:rFonts w:ascii="Arial" w:eastAsia="Times New Roman" w:hAnsi="Arial" w:cs="Arial"/>
              </w:rPr>
              <w:object w:dxaOrig="1440" w:dyaOrig="1440" w14:anchorId="6890CC19">
                <v:shape id="_x0000_i1572" type="#_x0000_t75" style="width:20.1pt;height:17.6pt" o:ole="">
                  <v:imagedata r:id="rId10" o:title=""/>
                </v:shape>
                <w:control r:id="rId138" w:name="DefaultOcxName14" w:shapeid="_x0000_i1572"/>
              </w:object>
            </w:r>
          </w:p>
        </w:tc>
      </w:tr>
    </w:tbl>
    <w:p w:rsidR="007439ED" w:rsidRPr="004C09CC" w:rsidRDefault="007439ED" w:rsidP="007439ED">
      <w:pPr>
        <w:spacing w:after="0" w:line="240" w:lineRule="auto"/>
        <w:rPr>
          <w:rFonts w:ascii="Arial" w:eastAsia="Times New Roman" w:hAnsi="Arial" w:cs="Arial"/>
          <w:b/>
          <w:bCs/>
          <w:color w:val="444444"/>
          <w:lang w:eastAsia="en-GB"/>
        </w:rPr>
      </w:pPr>
    </w:p>
    <w:p w:rsidR="007439ED" w:rsidRPr="004C09CC" w:rsidRDefault="007439ED" w:rsidP="007439ED">
      <w:pPr>
        <w:spacing w:after="0" w:line="240" w:lineRule="auto"/>
        <w:rPr>
          <w:rFonts w:ascii="Arial" w:eastAsia="Times New Roman" w:hAnsi="Arial" w:cs="Arial"/>
          <w:b/>
          <w:lang w:eastAsia="en-GB"/>
        </w:rPr>
      </w:pPr>
      <w:r w:rsidRPr="004C09CC">
        <w:rPr>
          <w:rFonts w:ascii="Arial" w:eastAsia="Times New Roman" w:hAnsi="Arial" w:cs="Arial"/>
          <w:b/>
          <w:bCs/>
          <w:lang w:eastAsia="en-GB"/>
        </w:rPr>
        <w:t xml:space="preserve">35 </w:t>
      </w:r>
      <w:r w:rsidRPr="004C09CC">
        <w:rPr>
          <w:rFonts w:ascii="Arial" w:eastAsia="Times New Roman" w:hAnsi="Arial" w:cs="Arial"/>
          <w:b/>
          <w:lang w:eastAsia="en-GB"/>
        </w:rPr>
        <w:t xml:space="preserve">If you envisage any barriers, arising from existing practice or future proposals, to introducing a new requirement on local authorities to establish an inclusion fund, please tell us what they are and how they might be overcome: </w:t>
      </w:r>
    </w:p>
    <w:p w:rsidR="007439ED" w:rsidRPr="004C09CC" w:rsidRDefault="007439ED" w:rsidP="007439ED">
      <w:pPr>
        <w:spacing w:after="0" w:line="240" w:lineRule="auto"/>
        <w:rPr>
          <w:rFonts w:ascii="Arial" w:eastAsia="Times New Roman" w:hAnsi="Arial" w:cs="Arial"/>
          <w:b/>
          <w:bCs/>
          <w:color w:val="444444"/>
          <w:lang w:eastAsia="en-GB"/>
        </w:rPr>
      </w:pPr>
    </w:p>
    <w:p w:rsidR="007439ED" w:rsidRPr="004C09CC" w:rsidRDefault="007439ED" w:rsidP="007439ED">
      <w:pPr>
        <w:pStyle w:val="NoSpacing"/>
        <w:rPr>
          <w:rFonts w:ascii="Arial" w:hAnsi="Arial" w:cs="Arial"/>
          <w:lang w:eastAsia="en-GB"/>
        </w:rPr>
      </w:pPr>
      <w:r w:rsidRPr="004C09CC">
        <w:rPr>
          <w:rFonts w:ascii="Arial" w:hAnsi="Arial" w:cs="Arial"/>
          <w:lang w:eastAsia="en-GB"/>
        </w:rPr>
        <w:t xml:space="preserve">We consider that the primary barriers to establishing an inclusion fund will be funding pressures and a lack of clarity about the purpose and aims of the fund. </w:t>
      </w:r>
    </w:p>
    <w:p w:rsidR="007439ED" w:rsidRPr="004C09CC" w:rsidRDefault="007439ED" w:rsidP="007439ED">
      <w:pPr>
        <w:pStyle w:val="NoSpacing"/>
        <w:rPr>
          <w:rFonts w:ascii="Arial" w:hAnsi="Arial" w:cs="Arial"/>
          <w:lang w:eastAsia="en-GB"/>
        </w:rPr>
      </w:pPr>
    </w:p>
    <w:p w:rsidR="007439ED" w:rsidRPr="004C09CC" w:rsidRDefault="007439ED" w:rsidP="007439ED">
      <w:pPr>
        <w:pStyle w:val="NoSpacing"/>
        <w:rPr>
          <w:rFonts w:ascii="Arial" w:hAnsi="Arial" w:cs="Arial"/>
          <w:lang w:eastAsia="en-GB"/>
        </w:rPr>
      </w:pPr>
      <w:r w:rsidRPr="004C09CC">
        <w:rPr>
          <w:rFonts w:ascii="Arial" w:hAnsi="Arial" w:cs="Arial"/>
          <w:lang w:eastAsia="en-GB"/>
        </w:rPr>
        <w:t>Funding pressures on local authorities to support inclusion may grow as the 30 hour offer raises parental expectations of access to a wider range of providers. Many local authorities will also be starting from a modest baseline in terms of their current early years inclusion offer and will need to commit new resources to establish a credible inclusion fund.</w:t>
      </w:r>
    </w:p>
    <w:p w:rsidR="007439ED" w:rsidRPr="004C09CC" w:rsidRDefault="007439ED" w:rsidP="007439ED">
      <w:pPr>
        <w:pStyle w:val="NoSpacing"/>
        <w:rPr>
          <w:rFonts w:ascii="Arial" w:hAnsi="Arial" w:cs="Arial"/>
          <w:lang w:eastAsia="en-GB"/>
        </w:rPr>
      </w:pPr>
    </w:p>
    <w:p w:rsidR="007439ED" w:rsidRPr="004C09CC" w:rsidRDefault="007439ED" w:rsidP="007439ED">
      <w:pPr>
        <w:pStyle w:val="NoSpacing"/>
        <w:rPr>
          <w:rFonts w:ascii="Arial" w:hAnsi="Arial" w:cs="Arial"/>
          <w:lang w:eastAsia="en-GB"/>
        </w:rPr>
      </w:pPr>
      <w:r w:rsidRPr="004C09CC">
        <w:rPr>
          <w:rFonts w:ascii="Arial" w:hAnsi="Arial" w:cs="Arial"/>
          <w:lang w:eastAsia="en-GB"/>
        </w:rPr>
        <w:t>There will inevitably be competing priorities for inclusion funding; for example local authorities may choose to focus on raising quality in PVI settings that already care for children with SEND, to build capacity in settings to improve choice for parents, or to provide top-up payments to support full-time care (and support for providers caring for children with SEND aged one to two and not eligible for free early education and childcare).</w:t>
      </w:r>
    </w:p>
    <w:p w:rsidR="007439ED" w:rsidRPr="004C09CC" w:rsidRDefault="007439ED" w:rsidP="007439ED">
      <w:pPr>
        <w:pStyle w:val="NoSpacing"/>
        <w:rPr>
          <w:rFonts w:ascii="Arial" w:hAnsi="Arial" w:cs="Arial"/>
          <w:lang w:eastAsia="en-GB"/>
        </w:rPr>
      </w:pPr>
    </w:p>
    <w:p w:rsidR="007439ED" w:rsidRPr="004C09CC" w:rsidRDefault="007439ED" w:rsidP="007439ED">
      <w:pPr>
        <w:spacing w:after="0" w:line="240" w:lineRule="auto"/>
        <w:rPr>
          <w:rFonts w:ascii="Arial" w:eastAsia="Times New Roman" w:hAnsi="Arial" w:cs="Arial"/>
          <w:lang w:eastAsia="en-GB"/>
        </w:rPr>
      </w:pPr>
      <w:r w:rsidRPr="004C09CC">
        <w:rPr>
          <w:rFonts w:ascii="Arial" w:hAnsi="Arial" w:cs="Arial"/>
          <w:lang w:eastAsia="en-GB"/>
        </w:rPr>
        <w:lastRenderedPageBreak/>
        <w:t xml:space="preserve">To overcome these barriers as far as possible, we would encourage the Department to use the early education and childcare statutory guidance for local authorities to encourage local authorities to establish an inclusion fund and establish broad parameters for the purpose and administration of the fund. The principles set out in the </w:t>
      </w:r>
      <w:r w:rsidRPr="004C09CC">
        <w:rPr>
          <w:rFonts w:ascii="Arial" w:eastAsia="Times New Roman" w:hAnsi="Arial" w:cs="Arial"/>
          <w:i/>
          <w:lang w:eastAsia="en-GB"/>
        </w:rPr>
        <w:t>Research on funding for young people with special educational needs</w:t>
      </w:r>
      <w:r w:rsidRPr="004C09CC">
        <w:rPr>
          <w:rFonts w:ascii="Arial" w:eastAsia="Times New Roman" w:hAnsi="Arial" w:cs="Arial"/>
          <w:lang w:eastAsia="en-GB"/>
        </w:rPr>
        <w:t xml:space="preserve"> report form a coherent potential framework. A local authority should set out:</w:t>
      </w:r>
    </w:p>
    <w:p w:rsidR="007439ED" w:rsidRPr="004C09CC" w:rsidRDefault="007439ED" w:rsidP="007439ED">
      <w:pPr>
        <w:spacing w:after="0" w:line="240" w:lineRule="auto"/>
        <w:rPr>
          <w:rFonts w:ascii="Arial" w:eastAsia="Times New Roman" w:hAnsi="Arial" w:cs="Arial"/>
          <w:lang w:eastAsia="en-GB"/>
        </w:rPr>
      </w:pPr>
    </w:p>
    <w:p w:rsidR="007439ED" w:rsidRPr="004C09CC" w:rsidRDefault="007439ED" w:rsidP="007439ED">
      <w:pPr>
        <w:pStyle w:val="ListParagraph"/>
        <w:numPr>
          <w:ilvl w:val="0"/>
          <w:numId w:val="3"/>
        </w:numPr>
        <w:spacing w:after="0" w:line="240" w:lineRule="auto"/>
        <w:rPr>
          <w:rFonts w:ascii="Arial" w:eastAsia="Times New Roman" w:hAnsi="Arial" w:cs="Arial"/>
          <w:lang w:eastAsia="en-GB"/>
        </w:rPr>
      </w:pPr>
      <w:r w:rsidRPr="004C09CC">
        <w:rPr>
          <w:rFonts w:ascii="Arial" w:eastAsia="Times New Roman" w:hAnsi="Arial" w:cs="Arial"/>
          <w:lang w:eastAsia="en-GB"/>
        </w:rPr>
        <w:t>clear expectations about the support early years providers are expected to offer;</w:t>
      </w:r>
    </w:p>
    <w:p w:rsidR="007439ED" w:rsidRPr="004C09CC" w:rsidRDefault="007439ED" w:rsidP="007439ED">
      <w:pPr>
        <w:spacing w:after="0" w:line="240" w:lineRule="auto"/>
        <w:rPr>
          <w:rFonts w:ascii="Arial" w:eastAsia="Times New Roman" w:hAnsi="Arial" w:cs="Arial"/>
          <w:lang w:eastAsia="en-GB"/>
        </w:rPr>
      </w:pPr>
    </w:p>
    <w:p w:rsidR="007439ED" w:rsidRPr="004C09CC" w:rsidRDefault="007439ED" w:rsidP="007439ED">
      <w:pPr>
        <w:pStyle w:val="ListParagraph"/>
        <w:numPr>
          <w:ilvl w:val="0"/>
          <w:numId w:val="3"/>
        </w:numPr>
        <w:spacing w:after="0" w:line="240" w:lineRule="auto"/>
        <w:rPr>
          <w:rFonts w:ascii="Arial" w:eastAsia="Times New Roman" w:hAnsi="Arial" w:cs="Arial"/>
          <w:lang w:eastAsia="en-GB"/>
        </w:rPr>
      </w:pPr>
      <w:r w:rsidRPr="004C09CC">
        <w:rPr>
          <w:rFonts w:ascii="Arial" w:eastAsia="Times New Roman" w:hAnsi="Arial" w:cs="Arial"/>
          <w:lang w:eastAsia="en-GB"/>
        </w:rPr>
        <w:t>a concrete offer of additional specialist advice and expertise; and</w:t>
      </w:r>
    </w:p>
    <w:p w:rsidR="007439ED" w:rsidRPr="004C09CC" w:rsidRDefault="007439ED" w:rsidP="007439ED">
      <w:pPr>
        <w:spacing w:after="0" w:line="240" w:lineRule="auto"/>
        <w:rPr>
          <w:rFonts w:ascii="Arial" w:eastAsia="Times New Roman" w:hAnsi="Arial" w:cs="Arial"/>
          <w:lang w:eastAsia="en-GB"/>
        </w:rPr>
      </w:pPr>
    </w:p>
    <w:p w:rsidR="007439ED" w:rsidRPr="004C09CC" w:rsidRDefault="007439ED" w:rsidP="007439ED">
      <w:pPr>
        <w:pStyle w:val="ListParagraph"/>
        <w:numPr>
          <w:ilvl w:val="0"/>
          <w:numId w:val="3"/>
        </w:numPr>
        <w:spacing w:after="0" w:line="240" w:lineRule="auto"/>
        <w:rPr>
          <w:rFonts w:ascii="Arial" w:eastAsia="Times New Roman" w:hAnsi="Arial" w:cs="Arial"/>
          <w:lang w:eastAsia="en-GB"/>
        </w:rPr>
      </w:pPr>
      <w:r w:rsidRPr="004C09CC">
        <w:rPr>
          <w:rFonts w:ascii="Arial" w:eastAsia="Times New Roman" w:hAnsi="Arial" w:cs="Arial"/>
          <w:lang w:eastAsia="en-GB"/>
        </w:rPr>
        <w:t>criteria for accessing additional top-up funding alongside a clear and timely route of access.</w:t>
      </w:r>
    </w:p>
    <w:p w:rsidR="007439ED" w:rsidRPr="004C09CC" w:rsidRDefault="007439ED" w:rsidP="007439ED">
      <w:pPr>
        <w:pStyle w:val="NoSpacing"/>
        <w:rPr>
          <w:rFonts w:ascii="Arial" w:hAnsi="Arial" w:cs="Arial"/>
          <w:lang w:eastAsia="en-GB"/>
        </w:rPr>
      </w:pPr>
    </w:p>
    <w:p w:rsidR="007439ED" w:rsidRPr="004C09CC" w:rsidRDefault="007439ED" w:rsidP="007439ED">
      <w:pPr>
        <w:pStyle w:val="NoSpacing"/>
        <w:rPr>
          <w:rFonts w:ascii="Arial" w:hAnsi="Arial" w:cs="Arial"/>
          <w:lang w:eastAsia="en-GB"/>
        </w:rPr>
      </w:pPr>
      <w:r w:rsidRPr="004C09CC">
        <w:rPr>
          <w:rFonts w:ascii="Arial" w:hAnsi="Arial" w:cs="Arial"/>
          <w:lang w:eastAsia="en-GB"/>
        </w:rPr>
        <w:t>A form of this information should both be included in both the funding agreement with providers and the local authority’s SEND Local Offer.</w:t>
      </w:r>
    </w:p>
    <w:p w:rsidR="007439ED" w:rsidRPr="004C09CC" w:rsidRDefault="007439ED" w:rsidP="007439ED">
      <w:pPr>
        <w:pStyle w:val="NoSpacing"/>
        <w:rPr>
          <w:rFonts w:ascii="Arial" w:hAnsi="Arial" w:cs="Arial"/>
          <w:lang w:eastAsia="en-GB"/>
        </w:rPr>
      </w:pPr>
    </w:p>
    <w:p w:rsidR="007439ED" w:rsidRPr="004C09CC" w:rsidRDefault="007439ED" w:rsidP="007439ED">
      <w:pPr>
        <w:pStyle w:val="NoSpacing"/>
        <w:rPr>
          <w:rFonts w:ascii="Arial" w:hAnsi="Arial" w:cs="Arial"/>
          <w:lang w:eastAsia="en-GB"/>
        </w:rPr>
      </w:pPr>
      <w:r w:rsidRPr="004C09CC">
        <w:rPr>
          <w:rFonts w:ascii="Arial" w:hAnsi="Arial" w:cs="Arial"/>
          <w:lang w:eastAsia="en-GB"/>
        </w:rPr>
        <w:t xml:space="preserve">We would also encourage the Department to explore ways of ensuring local authorities have access to good practice guidance and routes of sharing information about inclusion support. We agree that there should be local flexibility in administration of the inclusion fund but are concerned that there is not currently a means for local authorities to benchmark their standard of practice and learn from </w:t>
      </w:r>
      <w:r w:rsidR="00F71126" w:rsidRPr="004C09CC">
        <w:rPr>
          <w:rFonts w:ascii="Arial" w:hAnsi="Arial" w:cs="Arial"/>
          <w:lang w:eastAsia="en-GB"/>
        </w:rPr>
        <w:t>successful</w:t>
      </w:r>
      <w:r w:rsidRPr="004C09CC">
        <w:rPr>
          <w:rFonts w:ascii="Arial" w:hAnsi="Arial" w:cs="Arial"/>
          <w:lang w:eastAsia="en-GB"/>
        </w:rPr>
        <w:t xml:space="preserve"> local authorities.</w:t>
      </w:r>
    </w:p>
    <w:p w:rsidR="007439ED" w:rsidRPr="004C09CC" w:rsidRDefault="007439ED" w:rsidP="007439ED">
      <w:pPr>
        <w:spacing w:after="0" w:line="240" w:lineRule="auto"/>
        <w:rPr>
          <w:rFonts w:ascii="Arial" w:eastAsia="Times New Roman" w:hAnsi="Arial" w:cs="Arial"/>
          <w:b/>
          <w:bCs/>
          <w:color w:val="444444"/>
          <w:lang w:eastAsia="en-GB"/>
        </w:rPr>
      </w:pPr>
    </w:p>
    <w:p w:rsidR="007439ED" w:rsidRPr="004C09CC" w:rsidRDefault="007439ED" w:rsidP="007439ED">
      <w:pPr>
        <w:spacing w:after="0" w:line="240" w:lineRule="auto"/>
        <w:rPr>
          <w:rFonts w:ascii="Arial" w:eastAsia="Times New Roman" w:hAnsi="Arial" w:cs="Arial"/>
          <w:b/>
          <w:lang w:eastAsia="en-GB"/>
        </w:rPr>
      </w:pPr>
      <w:r w:rsidRPr="004C09CC">
        <w:rPr>
          <w:rFonts w:ascii="Arial" w:eastAsia="Times New Roman" w:hAnsi="Arial" w:cs="Arial"/>
          <w:b/>
          <w:bCs/>
          <w:lang w:eastAsia="en-GB"/>
        </w:rPr>
        <w:t xml:space="preserve">36 </w:t>
      </w:r>
      <w:r w:rsidRPr="004C09CC">
        <w:rPr>
          <w:rFonts w:ascii="Arial" w:eastAsia="Times New Roman" w:hAnsi="Arial" w:cs="Arial"/>
          <w:b/>
          <w:lang w:eastAsia="en-GB"/>
        </w:rPr>
        <w:t>When it comes to the SEN inclusion fund, should local authorities be responsible for deciding...</w:t>
      </w:r>
    </w:p>
    <w:tbl>
      <w:tblPr>
        <w:tblW w:w="8951" w:type="dxa"/>
        <w:tblCellMar>
          <w:top w:w="15" w:type="dxa"/>
          <w:left w:w="15" w:type="dxa"/>
          <w:bottom w:w="15" w:type="dxa"/>
          <w:right w:w="15" w:type="dxa"/>
        </w:tblCellMar>
        <w:tblLook w:val="04A0" w:firstRow="1" w:lastRow="0" w:firstColumn="1" w:lastColumn="0" w:noHBand="0" w:noVBand="1"/>
      </w:tblPr>
      <w:tblGrid>
        <w:gridCol w:w="1820"/>
        <w:gridCol w:w="2377"/>
        <w:gridCol w:w="2377"/>
        <w:gridCol w:w="2377"/>
      </w:tblGrid>
      <w:tr w:rsidR="007439ED" w:rsidRPr="004C09CC" w:rsidTr="00043B31">
        <w:trPr>
          <w:trHeight w:val="305"/>
          <w:tblHeader/>
        </w:trPr>
        <w:tc>
          <w:tcPr>
            <w:tcW w:w="1820" w:type="dxa"/>
            <w:shd w:val="clear" w:color="auto" w:fill="auto"/>
            <w:tcMar>
              <w:top w:w="168" w:type="dxa"/>
              <w:left w:w="240" w:type="dxa"/>
              <w:bottom w:w="192" w:type="dxa"/>
              <w:right w:w="0" w:type="dxa"/>
            </w:tcMar>
            <w:vAlign w:val="center"/>
            <w:hideMark/>
          </w:tcPr>
          <w:p w:rsidR="007439ED" w:rsidRPr="004C09CC" w:rsidRDefault="007439ED" w:rsidP="00CA2DC5">
            <w:pPr>
              <w:spacing w:after="0" w:line="312" w:lineRule="atLeast"/>
              <w:rPr>
                <w:rFonts w:ascii="Arial" w:eastAsia="Times New Roman" w:hAnsi="Arial" w:cs="Arial"/>
                <w:color w:val="666666"/>
                <w:lang w:eastAsia="en-GB"/>
              </w:rPr>
            </w:pPr>
          </w:p>
        </w:tc>
        <w:tc>
          <w:tcPr>
            <w:tcW w:w="2377" w:type="dxa"/>
            <w:shd w:val="clear" w:color="auto" w:fill="auto"/>
            <w:tcMar>
              <w:top w:w="168" w:type="dxa"/>
              <w:left w:w="120" w:type="dxa"/>
              <w:bottom w:w="192" w:type="dxa"/>
              <w:right w:w="120" w:type="dxa"/>
            </w:tcMar>
            <w:hideMark/>
          </w:tcPr>
          <w:p w:rsidR="007439ED" w:rsidRPr="004C09CC" w:rsidRDefault="007439ED" w:rsidP="00CA2DC5">
            <w:pPr>
              <w:spacing w:after="0" w:line="312" w:lineRule="atLeast"/>
              <w:jc w:val="center"/>
              <w:rPr>
                <w:rFonts w:ascii="Arial" w:eastAsia="Times New Roman" w:hAnsi="Arial" w:cs="Arial"/>
                <w:lang w:eastAsia="en-GB"/>
              </w:rPr>
            </w:pPr>
            <w:r w:rsidRPr="004C09CC">
              <w:rPr>
                <w:rFonts w:ascii="Arial" w:eastAsia="Times New Roman" w:hAnsi="Arial" w:cs="Arial"/>
                <w:lang w:eastAsia="en-GB"/>
              </w:rPr>
              <w:t>Yes</w:t>
            </w:r>
          </w:p>
        </w:tc>
        <w:tc>
          <w:tcPr>
            <w:tcW w:w="2377" w:type="dxa"/>
            <w:shd w:val="clear" w:color="auto" w:fill="auto"/>
            <w:tcMar>
              <w:top w:w="168" w:type="dxa"/>
              <w:left w:w="120" w:type="dxa"/>
              <w:bottom w:w="192" w:type="dxa"/>
              <w:right w:w="120" w:type="dxa"/>
            </w:tcMar>
            <w:hideMark/>
          </w:tcPr>
          <w:p w:rsidR="007439ED" w:rsidRPr="004C09CC" w:rsidRDefault="007439ED" w:rsidP="00CA2DC5">
            <w:pPr>
              <w:spacing w:after="0" w:line="312" w:lineRule="atLeast"/>
              <w:jc w:val="center"/>
              <w:rPr>
                <w:rFonts w:ascii="Arial" w:eastAsia="Times New Roman" w:hAnsi="Arial" w:cs="Arial"/>
                <w:lang w:eastAsia="en-GB"/>
              </w:rPr>
            </w:pPr>
            <w:r w:rsidRPr="004C09CC">
              <w:rPr>
                <w:rFonts w:ascii="Arial" w:eastAsia="Times New Roman" w:hAnsi="Arial" w:cs="Arial"/>
                <w:lang w:eastAsia="en-GB"/>
              </w:rPr>
              <w:t>No</w:t>
            </w:r>
          </w:p>
        </w:tc>
        <w:tc>
          <w:tcPr>
            <w:tcW w:w="2377" w:type="dxa"/>
            <w:shd w:val="clear" w:color="auto" w:fill="auto"/>
            <w:tcMar>
              <w:top w:w="168" w:type="dxa"/>
              <w:left w:w="120" w:type="dxa"/>
              <w:bottom w:w="192" w:type="dxa"/>
              <w:right w:w="120" w:type="dxa"/>
            </w:tcMar>
            <w:hideMark/>
          </w:tcPr>
          <w:p w:rsidR="007439ED" w:rsidRPr="004C09CC" w:rsidRDefault="007439ED" w:rsidP="00CA2DC5">
            <w:pPr>
              <w:spacing w:after="0" w:line="312" w:lineRule="atLeast"/>
              <w:jc w:val="center"/>
              <w:rPr>
                <w:rFonts w:ascii="Arial" w:eastAsia="Times New Roman" w:hAnsi="Arial" w:cs="Arial"/>
                <w:lang w:eastAsia="en-GB"/>
              </w:rPr>
            </w:pPr>
            <w:r w:rsidRPr="004C09CC">
              <w:rPr>
                <w:rFonts w:ascii="Arial" w:eastAsia="Times New Roman" w:hAnsi="Arial" w:cs="Arial"/>
                <w:lang w:eastAsia="en-GB"/>
              </w:rPr>
              <w:t>Unsure</w:t>
            </w:r>
          </w:p>
        </w:tc>
      </w:tr>
      <w:tr w:rsidR="007439ED" w:rsidRPr="004C09CC" w:rsidTr="00043B31">
        <w:trPr>
          <w:trHeight w:val="929"/>
        </w:trPr>
        <w:tc>
          <w:tcPr>
            <w:tcW w:w="1820" w:type="dxa"/>
            <w:tcBorders>
              <w:top w:val="single" w:sz="6" w:space="0" w:color="DDDDDD"/>
            </w:tcBorders>
            <w:shd w:val="clear" w:color="auto" w:fill="auto"/>
            <w:tcMar>
              <w:top w:w="168" w:type="dxa"/>
              <w:left w:w="240" w:type="dxa"/>
              <w:bottom w:w="192" w:type="dxa"/>
              <w:right w:w="0" w:type="dxa"/>
            </w:tcMar>
            <w:vAlign w:val="center"/>
            <w:hideMark/>
          </w:tcPr>
          <w:p w:rsidR="007439ED" w:rsidRPr="00C16599" w:rsidRDefault="007439ED" w:rsidP="00CA2DC5">
            <w:pPr>
              <w:spacing w:after="0" w:line="312" w:lineRule="atLeast"/>
              <w:rPr>
                <w:rFonts w:ascii="Arial" w:eastAsia="Times New Roman" w:hAnsi="Arial" w:cs="Arial"/>
                <w:lang w:eastAsia="en-GB"/>
              </w:rPr>
            </w:pPr>
            <w:r w:rsidRPr="00C16599">
              <w:rPr>
                <w:rFonts w:ascii="Arial" w:eastAsia="Times New Roman" w:hAnsi="Arial" w:cs="Arial"/>
                <w:lang w:eastAsia="en-GB"/>
              </w:rPr>
              <w:t>The children for which the inclusion fund is used?</w:t>
            </w:r>
          </w:p>
        </w:tc>
        <w:tc>
          <w:tcPr>
            <w:tcW w:w="0" w:type="auto"/>
            <w:tcBorders>
              <w:top w:val="single" w:sz="6" w:space="0" w:color="DDDDDD"/>
            </w:tcBorders>
            <w:shd w:val="clear" w:color="auto" w:fill="auto"/>
            <w:tcMar>
              <w:top w:w="168" w:type="dxa"/>
              <w:left w:w="120" w:type="dxa"/>
              <w:bottom w:w="192" w:type="dxa"/>
              <w:right w:w="120" w:type="dxa"/>
            </w:tcMar>
            <w:vAlign w:val="center"/>
            <w:hideMark/>
          </w:tcPr>
          <w:p w:rsidR="007439ED" w:rsidRPr="004C09CC" w:rsidRDefault="007439ED" w:rsidP="00CA2DC5">
            <w:pPr>
              <w:spacing w:after="0" w:line="312" w:lineRule="atLeast"/>
              <w:rPr>
                <w:rFonts w:ascii="Arial" w:eastAsia="Times New Roman" w:hAnsi="Arial" w:cs="Arial"/>
                <w:lang w:eastAsia="en-GB"/>
              </w:rPr>
            </w:pPr>
            <w:r w:rsidRPr="004C09CC">
              <w:rPr>
                <w:rFonts w:ascii="Arial" w:eastAsia="Times New Roman" w:hAnsi="Arial" w:cs="Arial"/>
              </w:rPr>
              <w:object w:dxaOrig="1440" w:dyaOrig="1440" w14:anchorId="763DBBAF">
                <v:shape id="_x0000_i1575" type="#_x0000_t75" style="width:20.1pt;height:17.6pt" o:ole="">
                  <v:imagedata r:id="rId8" o:title=""/>
                </v:shape>
                <w:control r:id="rId139" w:name="DefaultOcxName16" w:shapeid="_x0000_i1575"/>
              </w:object>
            </w:r>
          </w:p>
        </w:tc>
        <w:tc>
          <w:tcPr>
            <w:tcW w:w="0" w:type="auto"/>
            <w:tcBorders>
              <w:top w:val="single" w:sz="6" w:space="0" w:color="DDDDDD"/>
            </w:tcBorders>
            <w:shd w:val="clear" w:color="auto" w:fill="auto"/>
            <w:tcMar>
              <w:top w:w="168" w:type="dxa"/>
              <w:left w:w="120" w:type="dxa"/>
              <w:bottom w:w="192" w:type="dxa"/>
              <w:right w:w="120" w:type="dxa"/>
            </w:tcMar>
            <w:vAlign w:val="center"/>
            <w:hideMark/>
          </w:tcPr>
          <w:p w:rsidR="007439ED" w:rsidRPr="004C09CC" w:rsidRDefault="007439ED" w:rsidP="00CA2DC5">
            <w:pPr>
              <w:spacing w:after="0" w:line="312" w:lineRule="atLeast"/>
              <w:rPr>
                <w:rFonts w:ascii="Arial" w:eastAsia="Times New Roman" w:hAnsi="Arial" w:cs="Arial"/>
                <w:lang w:eastAsia="en-GB"/>
              </w:rPr>
            </w:pPr>
            <w:r w:rsidRPr="004C09CC">
              <w:rPr>
                <w:rFonts w:ascii="Arial" w:eastAsia="Times New Roman" w:hAnsi="Arial" w:cs="Arial"/>
              </w:rPr>
              <w:object w:dxaOrig="1440" w:dyaOrig="1440" w14:anchorId="50BC8937">
                <v:shape id="_x0000_i1578" type="#_x0000_t75" style="width:20.1pt;height:17.6pt" o:ole="">
                  <v:imagedata r:id="rId10" o:title=""/>
                </v:shape>
                <w:control r:id="rId140" w:name="DefaultOcxName17" w:shapeid="_x0000_i1578"/>
              </w:object>
            </w:r>
          </w:p>
        </w:tc>
        <w:tc>
          <w:tcPr>
            <w:tcW w:w="0" w:type="auto"/>
            <w:tcBorders>
              <w:top w:val="single" w:sz="6" w:space="0" w:color="DDDDDD"/>
            </w:tcBorders>
            <w:shd w:val="clear" w:color="auto" w:fill="auto"/>
            <w:tcMar>
              <w:top w:w="168" w:type="dxa"/>
              <w:left w:w="120" w:type="dxa"/>
              <w:bottom w:w="192" w:type="dxa"/>
              <w:right w:w="120" w:type="dxa"/>
            </w:tcMar>
            <w:vAlign w:val="center"/>
            <w:hideMark/>
          </w:tcPr>
          <w:p w:rsidR="007439ED" w:rsidRPr="004C09CC" w:rsidRDefault="007439ED" w:rsidP="00CA2DC5">
            <w:pPr>
              <w:spacing w:after="0" w:line="312" w:lineRule="atLeast"/>
              <w:rPr>
                <w:rFonts w:ascii="Arial" w:eastAsia="Times New Roman" w:hAnsi="Arial" w:cs="Arial"/>
                <w:lang w:eastAsia="en-GB"/>
              </w:rPr>
            </w:pPr>
            <w:r w:rsidRPr="004C09CC">
              <w:rPr>
                <w:rFonts w:ascii="Arial" w:eastAsia="Times New Roman" w:hAnsi="Arial" w:cs="Arial"/>
              </w:rPr>
              <w:object w:dxaOrig="1440" w:dyaOrig="1440" w14:anchorId="6B0A19CD">
                <v:shape id="_x0000_i1581" type="#_x0000_t75" style="width:20.1pt;height:17.6pt" o:ole="">
                  <v:imagedata r:id="rId10" o:title=""/>
                </v:shape>
                <w:control r:id="rId141" w:name="DefaultOcxName18" w:shapeid="_x0000_i1581"/>
              </w:object>
            </w:r>
          </w:p>
        </w:tc>
      </w:tr>
      <w:tr w:rsidR="007439ED" w:rsidRPr="004C09CC" w:rsidTr="00043B31">
        <w:trPr>
          <w:trHeight w:val="363"/>
        </w:trPr>
        <w:tc>
          <w:tcPr>
            <w:tcW w:w="1820" w:type="dxa"/>
            <w:tcBorders>
              <w:top w:val="single" w:sz="6" w:space="0" w:color="DDDDDD"/>
            </w:tcBorders>
            <w:shd w:val="clear" w:color="auto" w:fill="auto"/>
            <w:tcMar>
              <w:top w:w="168" w:type="dxa"/>
              <w:left w:w="240" w:type="dxa"/>
              <w:bottom w:w="192" w:type="dxa"/>
              <w:right w:w="0" w:type="dxa"/>
            </w:tcMar>
            <w:vAlign w:val="center"/>
            <w:hideMark/>
          </w:tcPr>
          <w:p w:rsidR="007439ED" w:rsidRPr="00C16599" w:rsidRDefault="007439ED" w:rsidP="00CA2DC5">
            <w:pPr>
              <w:spacing w:after="0" w:line="312" w:lineRule="atLeast"/>
              <w:rPr>
                <w:rFonts w:ascii="Arial" w:eastAsia="Times New Roman" w:hAnsi="Arial" w:cs="Arial"/>
                <w:lang w:eastAsia="en-GB"/>
              </w:rPr>
            </w:pPr>
            <w:r w:rsidRPr="00C16599">
              <w:rPr>
                <w:rFonts w:ascii="Arial" w:eastAsia="Times New Roman" w:hAnsi="Arial" w:cs="Arial"/>
                <w:lang w:eastAsia="en-GB"/>
              </w:rPr>
              <w:t>The value of the fund?</w:t>
            </w:r>
          </w:p>
        </w:tc>
        <w:tc>
          <w:tcPr>
            <w:tcW w:w="0" w:type="auto"/>
            <w:tcBorders>
              <w:top w:val="single" w:sz="6" w:space="0" w:color="DDDDDD"/>
            </w:tcBorders>
            <w:shd w:val="clear" w:color="auto" w:fill="auto"/>
            <w:tcMar>
              <w:top w:w="168" w:type="dxa"/>
              <w:left w:w="120" w:type="dxa"/>
              <w:bottom w:w="192" w:type="dxa"/>
              <w:right w:w="120" w:type="dxa"/>
            </w:tcMar>
            <w:vAlign w:val="center"/>
            <w:hideMark/>
          </w:tcPr>
          <w:p w:rsidR="007439ED" w:rsidRPr="004C09CC" w:rsidRDefault="007439ED" w:rsidP="00CA2DC5">
            <w:pPr>
              <w:spacing w:after="0" w:line="312" w:lineRule="atLeast"/>
              <w:rPr>
                <w:rFonts w:ascii="Arial" w:eastAsia="Times New Roman" w:hAnsi="Arial" w:cs="Arial"/>
                <w:lang w:eastAsia="en-GB"/>
              </w:rPr>
            </w:pPr>
            <w:r w:rsidRPr="004C09CC">
              <w:rPr>
                <w:rFonts w:ascii="Arial" w:eastAsia="Times New Roman" w:hAnsi="Arial" w:cs="Arial"/>
              </w:rPr>
              <w:object w:dxaOrig="1440" w:dyaOrig="1440" w14:anchorId="6C0FE617">
                <v:shape id="_x0000_i1584" type="#_x0000_t75" style="width:20.1pt;height:17.6pt" o:ole="">
                  <v:imagedata r:id="rId8" o:title=""/>
                </v:shape>
                <w:control r:id="rId142" w:name="DefaultOcxName19" w:shapeid="_x0000_i1584"/>
              </w:object>
            </w:r>
          </w:p>
        </w:tc>
        <w:tc>
          <w:tcPr>
            <w:tcW w:w="0" w:type="auto"/>
            <w:tcBorders>
              <w:top w:val="single" w:sz="6" w:space="0" w:color="DDDDDD"/>
            </w:tcBorders>
            <w:shd w:val="clear" w:color="auto" w:fill="auto"/>
            <w:tcMar>
              <w:top w:w="168" w:type="dxa"/>
              <w:left w:w="120" w:type="dxa"/>
              <w:bottom w:w="192" w:type="dxa"/>
              <w:right w:w="120" w:type="dxa"/>
            </w:tcMar>
            <w:vAlign w:val="center"/>
            <w:hideMark/>
          </w:tcPr>
          <w:p w:rsidR="007439ED" w:rsidRPr="004C09CC" w:rsidRDefault="007439ED" w:rsidP="00CA2DC5">
            <w:pPr>
              <w:spacing w:after="0" w:line="312" w:lineRule="atLeast"/>
              <w:rPr>
                <w:rFonts w:ascii="Arial" w:eastAsia="Times New Roman" w:hAnsi="Arial" w:cs="Arial"/>
                <w:lang w:eastAsia="en-GB"/>
              </w:rPr>
            </w:pPr>
            <w:r w:rsidRPr="004C09CC">
              <w:rPr>
                <w:rFonts w:ascii="Arial" w:eastAsia="Times New Roman" w:hAnsi="Arial" w:cs="Arial"/>
              </w:rPr>
              <w:object w:dxaOrig="1440" w:dyaOrig="1440" w14:anchorId="5798E385">
                <v:shape id="_x0000_i1587" type="#_x0000_t75" style="width:20.1pt;height:17.6pt" o:ole="">
                  <v:imagedata r:id="rId10" o:title=""/>
                </v:shape>
                <w:control r:id="rId143" w:name="DefaultOcxName20" w:shapeid="_x0000_i1587"/>
              </w:object>
            </w:r>
          </w:p>
        </w:tc>
        <w:tc>
          <w:tcPr>
            <w:tcW w:w="0" w:type="auto"/>
            <w:tcBorders>
              <w:top w:val="single" w:sz="6" w:space="0" w:color="DDDDDD"/>
            </w:tcBorders>
            <w:shd w:val="clear" w:color="auto" w:fill="auto"/>
            <w:tcMar>
              <w:top w:w="168" w:type="dxa"/>
              <w:left w:w="120" w:type="dxa"/>
              <w:bottom w:w="192" w:type="dxa"/>
              <w:right w:w="120" w:type="dxa"/>
            </w:tcMar>
            <w:vAlign w:val="center"/>
            <w:hideMark/>
          </w:tcPr>
          <w:p w:rsidR="007439ED" w:rsidRPr="004C09CC" w:rsidRDefault="007439ED" w:rsidP="00CA2DC5">
            <w:pPr>
              <w:spacing w:after="0" w:line="312" w:lineRule="atLeast"/>
              <w:rPr>
                <w:rFonts w:ascii="Arial" w:eastAsia="Times New Roman" w:hAnsi="Arial" w:cs="Arial"/>
                <w:lang w:eastAsia="en-GB"/>
              </w:rPr>
            </w:pPr>
            <w:r w:rsidRPr="004C09CC">
              <w:rPr>
                <w:rFonts w:ascii="Arial" w:eastAsia="Times New Roman" w:hAnsi="Arial" w:cs="Arial"/>
              </w:rPr>
              <w:object w:dxaOrig="1440" w:dyaOrig="1440" w14:anchorId="3548FC43">
                <v:shape id="_x0000_i1590" type="#_x0000_t75" style="width:20.1pt;height:17.6pt" o:ole="">
                  <v:imagedata r:id="rId10" o:title=""/>
                </v:shape>
                <w:control r:id="rId144" w:name="DefaultOcxName21" w:shapeid="_x0000_i1590"/>
              </w:object>
            </w:r>
          </w:p>
        </w:tc>
      </w:tr>
      <w:tr w:rsidR="007439ED" w:rsidRPr="004C09CC" w:rsidTr="00043B31">
        <w:trPr>
          <w:trHeight w:val="610"/>
        </w:trPr>
        <w:tc>
          <w:tcPr>
            <w:tcW w:w="1820" w:type="dxa"/>
            <w:tcBorders>
              <w:top w:val="single" w:sz="6" w:space="0" w:color="DDDDDD"/>
            </w:tcBorders>
            <w:shd w:val="clear" w:color="auto" w:fill="auto"/>
            <w:tcMar>
              <w:top w:w="168" w:type="dxa"/>
              <w:left w:w="240" w:type="dxa"/>
              <w:bottom w:w="192" w:type="dxa"/>
              <w:right w:w="0" w:type="dxa"/>
            </w:tcMar>
            <w:vAlign w:val="center"/>
            <w:hideMark/>
          </w:tcPr>
          <w:p w:rsidR="007439ED" w:rsidRPr="00C16599" w:rsidRDefault="007439ED" w:rsidP="00CA2DC5">
            <w:pPr>
              <w:spacing w:after="0" w:line="312" w:lineRule="atLeast"/>
              <w:rPr>
                <w:rFonts w:ascii="Arial" w:eastAsia="Times New Roman" w:hAnsi="Arial" w:cs="Arial"/>
                <w:lang w:eastAsia="en-GB"/>
              </w:rPr>
            </w:pPr>
            <w:r w:rsidRPr="00C16599">
              <w:rPr>
                <w:rFonts w:ascii="Arial" w:eastAsia="Times New Roman" w:hAnsi="Arial" w:cs="Arial"/>
                <w:lang w:eastAsia="en-GB"/>
              </w:rPr>
              <w:t>The process of allocating the funding?</w:t>
            </w:r>
          </w:p>
        </w:tc>
        <w:tc>
          <w:tcPr>
            <w:tcW w:w="0" w:type="auto"/>
            <w:tcBorders>
              <w:top w:val="single" w:sz="6" w:space="0" w:color="DDDDDD"/>
            </w:tcBorders>
            <w:shd w:val="clear" w:color="auto" w:fill="auto"/>
            <w:tcMar>
              <w:top w:w="168" w:type="dxa"/>
              <w:left w:w="120" w:type="dxa"/>
              <w:bottom w:w="192" w:type="dxa"/>
              <w:right w:w="120" w:type="dxa"/>
            </w:tcMar>
            <w:vAlign w:val="center"/>
            <w:hideMark/>
          </w:tcPr>
          <w:p w:rsidR="007439ED" w:rsidRPr="004C09CC" w:rsidRDefault="007439ED" w:rsidP="00CA2DC5">
            <w:pPr>
              <w:spacing w:after="0" w:line="312" w:lineRule="atLeast"/>
              <w:rPr>
                <w:rFonts w:ascii="Arial" w:eastAsia="Times New Roman" w:hAnsi="Arial" w:cs="Arial"/>
                <w:lang w:eastAsia="en-GB"/>
              </w:rPr>
            </w:pPr>
            <w:r w:rsidRPr="004C09CC">
              <w:rPr>
                <w:rFonts w:ascii="Arial" w:eastAsia="Times New Roman" w:hAnsi="Arial" w:cs="Arial"/>
              </w:rPr>
              <w:object w:dxaOrig="1440" w:dyaOrig="1440" w14:anchorId="64E36C42">
                <v:shape id="_x0000_i1593" type="#_x0000_t75" style="width:20.1pt;height:17.6pt" o:ole="">
                  <v:imagedata r:id="rId8" o:title=""/>
                </v:shape>
                <w:control r:id="rId145" w:name="DefaultOcxName22" w:shapeid="_x0000_i1593"/>
              </w:object>
            </w:r>
          </w:p>
        </w:tc>
        <w:tc>
          <w:tcPr>
            <w:tcW w:w="0" w:type="auto"/>
            <w:tcBorders>
              <w:top w:val="single" w:sz="6" w:space="0" w:color="DDDDDD"/>
            </w:tcBorders>
            <w:shd w:val="clear" w:color="auto" w:fill="auto"/>
            <w:tcMar>
              <w:top w:w="168" w:type="dxa"/>
              <w:left w:w="120" w:type="dxa"/>
              <w:bottom w:w="192" w:type="dxa"/>
              <w:right w:w="120" w:type="dxa"/>
            </w:tcMar>
            <w:vAlign w:val="center"/>
            <w:hideMark/>
          </w:tcPr>
          <w:p w:rsidR="007439ED" w:rsidRPr="004C09CC" w:rsidRDefault="007439ED" w:rsidP="00CA2DC5">
            <w:pPr>
              <w:spacing w:after="0" w:line="312" w:lineRule="atLeast"/>
              <w:rPr>
                <w:rFonts w:ascii="Arial" w:eastAsia="Times New Roman" w:hAnsi="Arial" w:cs="Arial"/>
                <w:lang w:eastAsia="en-GB"/>
              </w:rPr>
            </w:pPr>
            <w:r w:rsidRPr="004C09CC">
              <w:rPr>
                <w:rFonts w:ascii="Arial" w:eastAsia="Times New Roman" w:hAnsi="Arial" w:cs="Arial"/>
              </w:rPr>
              <w:object w:dxaOrig="1440" w:dyaOrig="1440" w14:anchorId="4812D6A5">
                <v:shape id="_x0000_i1596" type="#_x0000_t75" style="width:20.1pt;height:17.6pt" o:ole="">
                  <v:imagedata r:id="rId10" o:title=""/>
                </v:shape>
                <w:control r:id="rId146" w:name="DefaultOcxName23" w:shapeid="_x0000_i1596"/>
              </w:object>
            </w:r>
          </w:p>
        </w:tc>
        <w:tc>
          <w:tcPr>
            <w:tcW w:w="0" w:type="auto"/>
            <w:tcBorders>
              <w:top w:val="single" w:sz="6" w:space="0" w:color="DDDDDD"/>
            </w:tcBorders>
            <w:shd w:val="clear" w:color="auto" w:fill="auto"/>
            <w:tcMar>
              <w:top w:w="168" w:type="dxa"/>
              <w:left w:w="120" w:type="dxa"/>
              <w:bottom w:w="192" w:type="dxa"/>
              <w:right w:w="120" w:type="dxa"/>
            </w:tcMar>
            <w:vAlign w:val="center"/>
            <w:hideMark/>
          </w:tcPr>
          <w:p w:rsidR="007439ED" w:rsidRPr="004C09CC" w:rsidRDefault="007439ED" w:rsidP="00CA2DC5">
            <w:pPr>
              <w:spacing w:after="0" w:line="312" w:lineRule="atLeast"/>
              <w:rPr>
                <w:rFonts w:ascii="Arial" w:eastAsia="Times New Roman" w:hAnsi="Arial" w:cs="Arial"/>
                <w:lang w:eastAsia="en-GB"/>
              </w:rPr>
            </w:pPr>
            <w:r w:rsidRPr="004C09CC">
              <w:rPr>
                <w:rFonts w:ascii="Arial" w:eastAsia="Times New Roman" w:hAnsi="Arial" w:cs="Arial"/>
              </w:rPr>
              <w:object w:dxaOrig="1440" w:dyaOrig="1440" w14:anchorId="0D148977">
                <v:shape id="_x0000_i1599" type="#_x0000_t75" style="width:20.1pt;height:17.6pt" o:ole="">
                  <v:imagedata r:id="rId10" o:title=""/>
                </v:shape>
                <w:control r:id="rId147" w:name="DefaultOcxName24" w:shapeid="_x0000_i1599"/>
              </w:object>
            </w:r>
          </w:p>
        </w:tc>
      </w:tr>
    </w:tbl>
    <w:p w:rsidR="007439ED" w:rsidRPr="004C09CC" w:rsidRDefault="007439ED" w:rsidP="007439ED">
      <w:pPr>
        <w:spacing w:after="0" w:line="240" w:lineRule="auto"/>
        <w:rPr>
          <w:rFonts w:ascii="Arial" w:eastAsia="Times New Roman" w:hAnsi="Arial" w:cs="Arial"/>
          <w:b/>
          <w:bCs/>
          <w:lang w:eastAsia="en-GB"/>
        </w:rPr>
      </w:pPr>
      <w:r w:rsidRPr="004C09CC">
        <w:rPr>
          <w:rFonts w:ascii="Arial" w:eastAsia="Times New Roman" w:hAnsi="Arial" w:cs="Arial"/>
          <w:b/>
          <w:bCs/>
          <w:lang w:eastAsia="en-GB"/>
        </w:rPr>
        <w:t xml:space="preserve">37 </w:t>
      </w:r>
      <w:r w:rsidRPr="004C09CC">
        <w:rPr>
          <w:rFonts w:ascii="Arial" w:eastAsia="Times New Roman" w:hAnsi="Arial" w:cs="Arial"/>
          <w:b/>
          <w:lang w:eastAsia="en-GB"/>
        </w:rPr>
        <w:t>Where specialist SEN or SEND services are delivered free at the point of use, should they be considered as funding passed directly to providers for the purposes of the 95% high pass-through?</w:t>
      </w:r>
    </w:p>
    <w:p w:rsidR="007439ED" w:rsidRPr="004C09CC" w:rsidRDefault="007439ED" w:rsidP="007439ED">
      <w:pPr>
        <w:spacing w:after="0" w:line="240" w:lineRule="auto"/>
        <w:rPr>
          <w:rFonts w:ascii="Arial" w:eastAsia="Times New Roman" w:hAnsi="Arial" w:cs="Arial"/>
          <w:b/>
          <w:bCs/>
          <w:color w:val="6C6C6C"/>
          <w:lang w:eastAsia="en-GB"/>
        </w:rPr>
      </w:pPr>
      <w:r w:rsidRPr="004C09CC">
        <w:rPr>
          <w:rFonts w:ascii="Arial" w:eastAsia="Times New Roman" w:hAnsi="Arial" w:cs="Arial"/>
          <w:b/>
          <w:bCs/>
          <w:color w:val="6C6C6C"/>
          <w:lang w:eastAsia="en-GB"/>
        </w:rPr>
        <w:t xml:space="preserve"> </w:t>
      </w:r>
    </w:p>
    <w:p w:rsidR="007439ED" w:rsidRPr="004C09CC" w:rsidRDefault="007439ED" w:rsidP="007439ED">
      <w:pPr>
        <w:spacing w:after="0" w:line="240" w:lineRule="auto"/>
        <w:rPr>
          <w:rFonts w:ascii="Arial" w:eastAsia="Times New Roman" w:hAnsi="Arial" w:cs="Arial"/>
          <w:lang w:eastAsia="en-GB"/>
        </w:rPr>
      </w:pPr>
      <w:r w:rsidRPr="004C09CC">
        <w:rPr>
          <w:rFonts w:ascii="Arial" w:eastAsia="Times New Roman" w:hAnsi="Arial" w:cs="Arial"/>
        </w:rPr>
        <w:object w:dxaOrig="1440" w:dyaOrig="1440" w14:anchorId="465CE184">
          <v:shape id="_x0000_i1602" type="#_x0000_t75" style="width:20.1pt;height:17.6pt" o:ole="">
            <v:imagedata r:id="rId8" o:title=""/>
          </v:shape>
          <w:control r:id="rId148" w:name="DefaultOcxName25" w:shapeid="_x0000_i1602"/>
        </w:object>
      </w:r>
      <w:r w:rsidRPr="004C09CC">
        <w:rPr>
          <w:rFonts w:ascii="Arial" w:eastAsia="Times New Roman" w:hAnsi="Arial" w:cs="Arial"/>
          <w:lang w:eastAsia="en-GB"/>
        </w:rPr>
        <w:t>Agree </w:t>
      </w:r>
      <w:r w:rsidRPr="004C09CC">
        <w:rPr>
          <w:rFonts w:ascii="Arial" w:eastAsia="Times New Roman" w:hAnsi="Arial" w:cs="Arial"/>
          <w:lang w:eastAsia="en-GB"/>
        </w:rPr>
        <w:br/>
      </w:r>
      <w:r w:rsidRPr="004C09CC">
        <w:rPr>
          <w:rFonts w:ascii="Arial" w:eastAsia="Times New Roman" w:hAnsi="Arial" w:cs="Arial"/>
        </w:rPr>
        <w:object w:dxaOrig="1440" w:dyaOrig="1440" w14:anchorId="00098DAC">
          <v:shape id="_x0000_i1605" type="#_x0000_t75" style="width:20.1pt;height:17.6pt" o:ole="">
            <v:imagedata r:id="rId10" o:title=""/>
          </v:shape>
          <w:control r:id="rId149" w:name="DefaultOcxName26" w:shapeid="_x0000_i1605"/>
        </w:object>
      </w:r>
      <w:r w:rsidRPr="004C09CC">
        <w:rPr>
          <w:rFonts w:ascii="Arial" w:eastAsia="Times New Roman" w:hAnsi="Arial" w:cs="Arial"/>
          <w:lang w:eastAsia="en-GB"/>
        </w:rPr>
        <w:t>Disagree </w:t>
      </w:r>
      <w:r w:rsidRPr="004C09CC">
        <w:rPr>
          <w:rFonts w:ascii="Arial" w:eastAsia="Times New Roman" w:hAnsi="Arial" w:cs="Arial"/>
          <w:lang w:eastAsia="en-GB"/>
        </w:rPr>
        <w:br/>
      </w:r>
      <w:r w:rsidRPr="004C09CC">
        <w:rPr>
          <w:rFonts w:ascii="Arial" w:eastAsia="Times New Roman" w:hAnsi="Arial" w:cs="Arial"/>
        </w:rPr>
        <w:object w:dxaOrig="1440" w:dyaOrig="1440" w14:anchorId="3411A957">
          <v:shape id="_x0000_i1608" type="#_x0000_t75" style="width:20.1pt;height:17.6pt" o:ole="">
            <v:imagedata r:id="rId10" o:title=""/>
          </v:shape>
          <w:control r:id="rId150" w:name="DefaultOcxName27" w:shapeid="_x0000_i1608"/>
        </w:object>
      </w:r>
      <w:r w:rsidRPr="004C09CC">
        <w:rPr>
          <w:rFonts w:ascii="Arial" w:eastAsia="Times New Roman" w:hAnsi="Arial" w:cs="Arial"/>
          <w:lang w:eastAsia="en-GB"/>
        </w:rPr>
        <w:t>Unsure </w:t>
      </w:r>
      <w:r w:rsidRPr="004C09CC">
        <w:rPr>
          <w:rFonts w:ascii="Arial" w:eastAsia="Times New Roman" w:hAnsi="Arial" w:cs="Arial"/>
          <w:lang w:eastAsia="en-GB"/>
        </w:rPr>
        <w:br/>
      </w:r>
    </w:p>
    <w:p w:rsidR="007439ED" w:rsidRPr="004C09CC" w:rsidRDefault="007439ED" w:rsidP="007439ED">
      <w:pPr>
        <w:spacing w:after="0" w:line="240" w:lineRule="auto"/>
        <w:rPr>
          <w:rFonts w:ascii="Arial" w:eastAsia="Times New Roman" w:hAnsi="Arial" w:cs="Arial"/>
          <w:b/>
          <w:lang w:eastAsia="en-GB"/>
        </w:rPr>
      </w:pPr>
      <w:r w:rsidRPr="004C09CC">
        <w:rPr>
          <w:rFonts w:ascii="Arial" w:eastAsia="Times New Roman" w:hAnsi="Arial" w:cs="Arial"/>
          <w:b/>
          <w:bCs/>
          <w:lang w:eastAsia="en-GB"/>
        </w:rPr>
        <w:t xml:space="preserve">38 </w:t>
      </w:r>
      <w:r w:rsidRPr="004C09CC">
        <w:rPr>
          <w:rFonts w:ascii="Arial" w:eastAsia="Times New Roman" w:hAnsi="Arial" w:cs="Arial"/>
          <w:b/>
          <w:lang w:eastAsia="en-GB"/>
        </w:rPr>
        <w:t>If you want to explain a response you’ve submitted on this page in more detail, please do so here:</w:t>
      </w:r>
    </w:p>
    <w:p w:rsidR="007439ED" w:rsidRPr="004C09CC" w:rsidRDefault="007439ED" w:rsidP="007439ED">
      <w:pPr>
        <w:pStyle w:val="NoSpacing"/>
        <w:rPr>
          <w:rFonts w:ascii="Arial" w:hAnsi="Arial" w:cs="Arial"/>
        </w:rPr>
      </w:pPr>
    </w:p>
    <w:p w:rsidR="007439ED" w:rsidRPr="004C09CC" w:rsidRDefault="007439ED" w:rsidP="007439ED">
      <w:pPr>
        <w:pStyle w:val="NoSpacing"/>
        <w:rPr>
          <w:rFonts w:ascii="Arial" w:hAnsi="Arial" w:cs="Arial"/>
          <w:u w:val="words"/>
        </w:rPr>
      </w:pPr>
      <w:r w:rsidRPr="004C09CC">
        <w:rPr>
          <w:rFonts w:ascii="Arial" w:hAnsi="Arial" w:cs="Arial"/>
        </w:rPr>
        <w:t>Our conversations with sector colleagues suggest a degree of confusion about question 37. We would encourage the Department not to apply a cap to the amount of the early years block of the DSG that may be used to support inclusion, whether through free and su</w:t>
      </w:r>
      <w:r w:rsidR="00322E76" w:rsidRPr="004C09CC">
        <w:rPr>
          <w:rFonts w:ascii="Arial" w:hAnsi="Arial" w:cs="Arial"/>
        </w:rPr>
        <w:t>bsidised support or through top-</w:t>
      </w:r>
      <w:r w:rsidRPr="004C09CC">
        <w:rPr>
          <w:rFonts w:ascii="Arial" w:hAnsi="Arial" w:cs="Arial"/>
        </w:rPr>
        <w:t>up payments channelled to providers. Improving inclusion in the early years is not solely an issue of funding, but resources are an important influence on progress. Under the Department’s proposals, many local authorities will be managing a difficult transition as the amount of central funding available to early years teams declines. Alongside these changes, applying a cap to inclusion funding could dampen or undermine local authority efforts to improve inclusion support in the early years.</w:t>
      </w:r>
    </w:p>
    <w:p w:rsidR="00043B31" w:rsidRPr="004C09CC" w:rsidRDefault="00043B31" w:rsidP="007439ED">
      <w:pPr>
        <w:rPr>
          <w:rFonts w:ascii="Arial" w:hAnsi="Arial" w:cs="Arial"/>
          <w:b/>
        </w:rPr>
      </w:pPr>
    </w:p>
    <w:p w:rsidR="007439ED" w:rsidRPr="004C09CC" w:rsidRDefault="007439ED" w:rsidP="007439ED">
      <w:pPr>
        <w:rPr>
          <w:rFonts w:ascii="Arial" w:hAnsi="Arial" w:cs="Arial"/>
          <w:b/>
        </w:rPr>
      </w:pPr>
      <w:r w:rsidRPr="004C09CC">
        <w:rPr>
          <w:rFonts w:ascii="Arial" w:hAnsi="Arial" w:cs="Arial"/>
          <w:b/>
        </w:rPr>
        <w:t>39. To what extent do you agree with the transition approach proposed for the Early Years National Funding Formula (money distributed from Government to local authorities)?</w:t>
      </w:r>
    </w:p>
    <w:p w:rsidR="007439ED" w:rsidRPr="004C09CC" w:rsidRDefault="007439ED" w:rsidP="007439ED">
      <w:pPr>
        <w:rPr>
          <w:rFonts w:ascii="Arial" w:hAnsi="Arial" w:cs="Arial"/>
        </w:rPr>
      </w:pPr>
      <w:r w:rsidRPr="004C09CC">
        <w:rPr>
          <w:rFonts w:ascii="Arial" w:hAnsi="Arial" w:cs="Arial"/>
        </w:rPr>
        <w:object w:dxaOrig="1440" w:dyaOrig="1440" w14:anchorId="6C07C109">
          <v:shape id="_x0000_i1611" type="#_x0000_t75" style="width:20.1pt;height:17.6pt" o:ole="">
            <v:imagedata r:id="rId10" o:title=""/>
          </v:shape>
          <w:control r:id="rId151" w:name="DefaultOcxName252" w:shapeid="_x0000_i1611"/>
        </w:object>
      </w:r>
      <w:r w:rsidRPr="004C09CC">
        <w:rPr>
          <w:rFonts w:ascii="Arial" w:hAnsi="Arial" w:cs="Arial"/>
        </w:rPr>
        <w:t>Strongly agree </w:t>
      </w:r>
      <w:r w:rsidRPr="004C09CC">
        <w:rPr>
          <w:rFonts w:ascii="Arial" w:hAnsi="Arial" w:cs="Arial"/>
        </w:rPr>
        <w:br/>
      </w:r>
      <w:r w:rsidRPr="004C09CC">
        <w:rPr>
          <w:rFonts w:ascii="Arial" w:hAnsi="Arial" w:cs="Arial"/>
        </w:rPr>
        <w:object w:dxaOrig="1440" w:dyaOrig="1440" w14:anchorId="1F81D83F">
          <v:shape id="_x0000_i1614" type="#_x0000_t75" style="width:20.1pt;height:17.6pt" o:ole="">
            <v:imagedata r:id="rId10" o:title=""/>
          </v:shape>
          <w:control r:id="rId152" w:name="DefaultOcxName1101" w:shapeid="_x0000_i1614"/>
        </w:object>
      </w:r>
      <w:r w:rsidRPr="004C09CC">
        <w:rPr>
          <w:rFonts w:ascii="Arial" w:hAnsi="Arial" w:cs="Arial"/>
        </w:rPr>
        <w:t>Agree </w:t>
      </w:r>
      <w:r w:rsidRPr="004C09CC">
        <w:rPr>
          <w:rFonts w:ascii="Arial" w:hAnsi="Arial" w:cs="Arial"/>
        </w:rPr>
        <w:br/>
      </w:r>
      <w:r w:rsidRPr="004C09CC">
        <w:rPr>
          <w:rFonts w:ascii="Arial" w:hAnsi="Arial" w:cs="Arial"/>
        </w:rPr>
        <w:object w:dxaOrig="1440" w:dyaOrig="1440" w14:anchorId="1B86765F">
          <v:shape id="_x0000_i1617" type="#_x0000_t75" style="width:20.1pt;height:17.6pt" o:ole="">
            <v:imagedata r:id="rId10" o:title=""/>
          </v:shape>
          <w:control r:id="rId153" w:name="DefaultOcxName242" w:shapeid="_x0000_i1617"/>
        </w:object>
      </w:r>
      <w:r w:rsidRPr="004C09CC">
        <w:rPr>
          <w:rFonts w:ascii="Arial" w:hAnsi="Arial" w:cs="Arial"/>
        </w:rPr>
        <w:t>Neither agree nor disagree </w:t>
      </w:r>
      <w:r w:rsidRPr="004C09CC">
        <w:rPr>
          <w:rFonts w:ascii="Arial" w:hAnsi="Arial" w:cs="Arial"/>
        </w:rPr>
        <w:br/>
      </w:r>
      <w:r w:rsidRPr="004C09CC">
        <w:rPr>
          <w:rFonts w:ascii="Arial" w:hAnsi="Arial" w:cs="Arial"/>
        </w:rPr>
        <w:object w:dxaOrig="1440" w:dyaOrig="1440" w14:anchorId="186863D1">
          <v:shape id="_x0000_i1620" type="#_x0000_t75" style="width:20.1pt;height:17.6pt" o:ole="">
            <v:imagedata r:id="rId8" o:title=""/>
          </v:shape>
          <w:control r:id="rId154" w:name="DefaultOcxName312" w:shapeid="_x0000_i1620"/>
        </w:object>
      </w:r>
      <w:r w:rsidRPr="004C09CC">
        <w:rPr>
          <w:rFonts w:ascii="Arial" w:hAnsi="Arial" w:cs="Arial"/>
        </w:rPr>
        <w:t>Disagree </w:t>
      </w:r>
      <w:r w:rsidRPr="004C09CC">
        <w:rPr>
          <w:rFonts w:ascii="Arial" w:hAnsi="Arial" w:cs="Arial"/>
        </w:rPr>
        <w:br/>
      </w:r>
      <w:r w:rsidRPr="004C09CC">
        <w:rPr>
          <w:rFonts w:ascii="Arial" w:hAnsi="Arial" w:cs="Arial"/>
        </w:rPr>
        <w:object w:dxaOrig="1440" w:dyaOrig="1440" w14:anchorId="22CC4A14">
          <v:shape id="_x0000_i1623" type="#_x0000_t75" style="width:20.1pt;height:17.6pt" o:ole="">
            <v:imagedata r:id="rId10" o:title=""/>
          </v:shape>
          <w:control r:id="rId155" w:name="DefaultOcxName412" w:shapeid="_x0000_i1623"/>
        </w:object>
      </w:r>
      <w:r w:rsidRPr="004C09CC">
        <w:rPr>
          <w:rFonts w:ascii="Arial" w:hAnsi="Arial" w:cs="Arial"/>
        </w:rPr>
        <w:t>Strongly disagree </w:t>
      </w:r>
      <w:r w:rsidRPr="004C09CC">
        <w:rPr>
          <w:rFonts w:ascii="Arial" w:hAnsi="Arial" w:cs="Arial"/>
        </w:rPr>
        <w:br/>
      </w:r>
    </w:p>
    <w:p w:rsidR="007439ED" w:rsidRPr="004C09CC" w:rsidRDefault="007439ED" w:rsidP="007439ED">
      <w:pPr>
        <w:rPr>
          <w:rFonts w:ascii="Arial" w:hAnsi="Arial" w:cs="Arial"/>
          <w:b/>
        </w:rPr>
      </w:pPr>
      <w:r w:rsidRPr="004C09CC">
        <w:rPr>
          <w:rFonts w:ascii="Arial" w:hAnsi="Arial" w:cs="Arial"/>
          <w:b/>
          <w:bCs/>
        </w:rPr>
        <w:t>40</w:t>
      </w:r>
      <w:r w:rsidR="00EB586D" w:rsidRPr="004C09CC">
        <w:rPr>
          <w:rFonts w:ascii="Arial" w:hAnsi="Arial" w:cs="Arial"/>
          <w:b/>
          <w:bCs/>
        </w:rPr>
        <w:t xml:space="preserve"> </w:t>
      </w:r>
      <w:r w:rsidRPr="004C09CC">
        <w:rPr>
          <w:rFonts w:ascii="Arial" w:hAnsi="Arial" w:cs="Arial"/>
          <w:b/>
        </w:rPr>
        <w:t>To what extent do you agree with the transition approach proposed for the high pass-through of early years funding from local authorities to providers?</w:t>
      </w:r>
    </w:p>
    <w:p w:rsidR="007439ED" w:rsidRPr="004C09CC" w:rsidRDefault="007439ED" w:rsidP="007439ED">
      <w:pPr>
        <w:rPr>
          <w:rFonts w:ascii="Arial" w:hAnsi="Arial" w:cs="Arial"/>
        </w:rPr>
      </w:pPr>
      <w:r w:rsidRPr="004C09CC">
        <w:rPr>
          <w:rFonts w:ascii="Arial" w:hAnsi="Arial" w:cs="Arial"/>
        </w:rPr>
        <w:object w:dxaOrig="1440" w:dyaOrig="1440" w14:anchorId="61B21E8F">
          <v:shape id="_x0000_i1626" type="#_x0000_t75" style="width:20.1pt;height:17.6pt" o:ole="">
            <v:imagedata r:id="rId10" o:title=""/>
          </v:shape>
          <w:control r:id="rId156" w:name="DefaultOcxName512" w:shapeid="_x0000_i1626"/>
        </w:object>
      </w:r>
      <w:r w:rsidRPr="004C09CC">
        <w:rPr>
          <w:rFonts w:ascii="Arial" w:hAnsi="Arial" w:cs="Arial"/>
        </w:rPr>
        <w:t>Strongly agree </w:t>
      </w:r>
      <w:r w:rsidRPr="004C09CC">
        <w:rPr>
          <w:rFonts w:ascii="Arial" w:hAnsi="Arial" w:cs="Arial"/>
        </w:rPr>
        <w:br/>
      </w:r>
      <w:r w:rsidRPr="004C09CC">
        <w:rPr>
          <w:rFonts w:ascii="Arial" w:hAnsi="Arial" w:cs="Arial"/>
        </w:rPr>
        <w:object w:dxaOrig="1440" w:dyaOrig="1440" w14:anchorId="066AD08E">
          <v:shape id="_x0000_i1629" type="#_x0000_t75" style="width:20.1pt;height:17.6pt" o:ole="">
            <v:imagedata r:id="rId10" o:title=""/>
          </v:shape>
          <w:control r:id="rId157" w:name="DefaultOcxName611" w:shapeid="_x0000_i1629"/>
        </w:object>
      </w:r>
      <w:r w:rsidRPr="004C09CC">
        <w:rPr>
          <w:rFonts w:ascii="Arial" w:hAnsi="Arial" w:cs="Arial"/>
        </w:rPr>
        <w:t>Agree </w:t>
      </w:r>
      <w:r w:rsidRPr="004C09CC">
        <w:rPr>
          <w:rFonts w:ascii="Arial" w:hAnsi="Arial" w:cs="Arial"/>
        </w:rPr>
        <w:br/>
      </w:r>
      <w:r w:rsidRPr="004C09CC">
        <w:rPr>
          <w:rFonts w:ascii="Arial" w:hAnsi="Arial" w:cs="Arial"/>
        </w:rPr>
        <w:object w:dxaOrig="1440" w:dyaOrig="1440" w14:anchorId="7FCD44D1">
          <v:shape id="_x0000_i1632" type="#_x0000_t75" style="width:20.1pt;height:17.6pt" o:ole="">
            <v:imagedata r:id="rId10" o:title=""/>
          </v:shape>
          <w:control r:id="rId158" w:name="DefaultOcxName711" w:shapeid="_x0000_i1632"/>
        </w:object>
      </w:r>
      <w:r w:rsidRPr="004C09CC">
        <w:rPr>
          <w:rFonts w:ascii="Arial" w:hAnsi="Arial" w:cs="Arial"/>
        </w:rPr>
        <w:t>Neither agree nor disagree </w:t>
      </w:r>
      <w:r w:rsidRPr="004C09CC">
        <w:rPr>
          <w:rFonts w:ascii="Arial" w:hAnsi="Arial" w:cs="Arial"/>
        </w:rPr>
        <w:br/>
      </w:r>
      <w:r w:rsidRPr="004C09CC">
        <w:rPr>
          <w:rFonts w:ascii="Arial" w:hAnsi="Arial" w:cs="Arial"/>
        </w:rPr>
        <w:object w:dxaOrig="1440" w:dyaOrig="1440" w14:anchorId="199F3311">
          <v:shape id="_x0000_i1635" type="#_x0000_t75" style="width:20.1pt;height:17.6pt" o:ole="">
            <v:imagedata r:id="rId8" o:title=""/>
          </v:shape>
          <w:control r:id="rId159" w:name="DefaultOcxName811" w:shapeid="_x0000_i1635"/>
        </w:object>
      </w:r>
      <w:r w:rsidRPr="004C09CC">
        <w:rPr>
          <w:rFonts w:ascii="Arial" w:hAnsi="Arial" w:cs="Arial"/>
        </w:rPr>
        <w:t>Disagree </w:t>
      </w:r>
      <w:r w:rsidRPr="004C09CC">
        <w:rPr>
          <w:rFonts w:ascii="Arial" w:hAnsi="Arial" w:cs="Arial"/>
        </w:rPr>
        <w:br/>
      </w:r>
      <w:r w:rsidRPr="004C09CC">
        <w:rPr>
          <w:rFonts w:ascii="Arial" w:hAnsi="Arial" w:cs="Arial"/>
        </w:rPr>
        <w:object w:dxaOrig="1440" w:dyaOrig="1440" w14:anchorId="6DACF708">
          <v:shape id="_x0000_i1638" type="#_x0000_t75" style="width:20.1pt;height:17.6pt" o:ole="">
            <v:imagedata r:id="rId10" o:title=""/>
          </v:shape>
          <w:control r:id="rId160" w:name="DefaultOcxName911" w:shapeid="_x0000_i1638"/>
        </w:object>
      </w:r>
      <w:r w:rsidRPr="004C09CC">
        <w:rPr>
          <w:rFonts w:ascii="Arial" w:hAnsi="Arial" w:cs="Arial"/>
        </w:rPr>
        <w:t>Strongly disagree </w:t>
      </w:r>
      <w:r w:rsidRPr="004C09CC">
        <w:rPr>
          <w:rFonts w:ascii="Arial" w:hAnsi="Arial" w:cs="Arial"/>
        </w:rPr>
        <w:br/>
      </w:r>
    </w:p>
    <w:p w:rsidR="007439ED" w:rsidRPr="004C09CC" w:rsidRDefault="007439ED" w:rsidP="007439ED">
      <w:pPr>
        <w:rPr>
          <w:rFonts w:ascii="Arial" w:hAnsi="Arial" w:cs="Arial"/>
          <w:b/>
        </w:rPr>
      </w:pPr>
      <w:r w:rsidRPr="004C09CC">
        <w:rPr>
          <w:rFonts w:ascii="Arial" w:hAnsi="Arial" w:cs="Arial"/>
          <w:b/>
          <w:bCs/>
        </w:rPr>
        <w:t>41</w:t>
      </w:r>
      <w:r w:rsidR="00EB586D" w:rsidRPr="004C09CC">
        <w:rPr>
          <w:rFonts w:ascii="Arial" w:hAnsi="Arial" w:cs="Arial"/>
          <w:b/>
          <w:bCs/>
        </w:rPr>
        <w:t xml:space="preserve"> </w:t>
      </w:r>
      <w:r w:rsidRPr="004C09CC">
        <w:rPr>
          <w:rFonts w:ascii="Arial" w:hAnsi="Arial" w:cs="Arial"/>
          <w:b/>
        </w:rPr>
        <w:t>To what extent do you agree that our proposals on the high pass-through of funding from local authorities to childcare providers makes the existing Minimum Funding Guarantee for the early years unnecessary?</w:t>
      </w:r>
    </w:p>
    <w:p w:rsidR="007439ED" w:rsidRPr="004C09CC" w:rsidRDefault="007439ED" w:rsidP="007439ED">
      <w:pPr>
        <w:rPr>
          <w:rFonts w:ascii="Arial" w:hAnsi="Arial" w:cs="Arial"/>
        </w:rPr>
      </w:pPr>
      <w:r w:rsidRPr="004C09CC">
        <w:rPr>
          <w:rFonts w:ascii="Arial" w:hAnsi="Arial" w:cs="Arial"/>
        </w:rPr>
        <w:object w:dxaOrig="1440" w:dyaOrig="1440" w14:anchorId="51D5106E">
          <v:shape id="_x0000_i1641" type="#_x0000_t75" style="width:20.1pt;height:17.6pt" o:ole="">
            <v:imagedata r:id="rId10" o:title=""/>
          </v:shape>
          <w:control r:id="rId161" w:name="DefaultOcxName1011" w:shapeid="_x0000_i1641"/>
        </w:object>
      </w:r>
      <w:r w:rsidRPr="004C09CC">
        <w:rPr>
          <w:rFonts w:ascii="Arial" w:hAnsi="Arial" w:cs="Arial"/>
        </w:rPr>
        <w:t>Strongly agree </w:t>
      </w:r>
      <w:r w:rsidRPr="004C09CC">
        <w:rPr>
          <w:rFonts w:ascii="Arial" w:hAnsi="Arial" w:cs="Arial"/>
        </w:rPr>
        <w:br/>
      </w:r>
      <w:r w:rsidRPr="004C09CC">
        <w:rPr>
          <w:rFonts w:ascii="Arial" w:hAnsi="Arial" w:cs="Arial"/>
        </w:rPr>
        <w:object w:dxaOrig="1440" w:dyaOrig="1440" w14:anchorId="3980D649">
          <v:shape id="_x0000_i1644" type="#_x0000_t75" style="width:20.1pt;height:17.6pt" o:ole="">
            <v:imagedata r:id="rId10" o:title=""/>
          </v:shape>
          <w:control r:id="rId162" w:name="DefaultOcxName111" w:shapeid="_x0000_i1644"/>
        </w:object>
      </w:r>
      <w:r w:rsidRPr="004C09CC">
        <w:rPr>
          <w:rFonts w:ascii="Arial" w:hAnsi="Arial" w:cs="Arial"/>
        </w:rPr>
        <w:t>Agree </w:t>
      </w:r>
      <w:r w:rsidRPr="004C09CC">
        <w:rPr>
          <w:rFonts w:ascii="Arial" w:hAnsi="Arial" w:cs="Arial"/>
        </w:rPr>
        <w:br/>
      </w:r>
      <w:r w:rsidRPr="004C09CC">
        <w:rPr>
          <w:rFonts w:ascii="Arial" w:hAnsi="Arial" w:cs="Arial"/>
        </w:rPr>
        <w:object w:dxaOrig="1440" w:dyaOrig="1440" w14:anchorId="0E62CBE3">
          <v:shape id="_x0000_i1647" type="#_x0000_t75" style="width:20.1pt;height:17.6pt" o:ole="">
            <v:imagedata r:id="rId10" o:title=""/>
          </v:shape>
          <w:control r:id="rId163" w:name="DefaultOcxName1211" w:shapeid="_x0000_i1647"/>
        </w:object>
      </w:r>
      <w:r w:rsidRPr="004C09CC">
        <w:rPr>
          <w:rFonts w:ascii="Arial" w:hAnsi="Arial" w:cs="Arial"/>
        </w:rPr>
        <w:t>Neither agree nor disagree </w:t>
      </w:r>
      <w:r w:rsidRPr="004C09CC">
        <w:rPr>
          <w:rFonts w:ascii="Arial" w:hAnsi="Arial" w:cs="Arial"/>
        </w:rPr>
        <w:br/>
      </w:r>
      <w:r w:rsidRPr="004C09CC">
        <w:rPr>
          <w:rFonts w:ascii="Arial" w:hAnsi="Arial" w:cs="Arial"/>
        </w:rPr>
        <w:object w:dxaOrig="1440" w:dyaOrig="1440" w14:anchorId="09CF4641">
          <v:shape id="_x0000_i1650" type="#_x0000_t75" style="width:20.1pt;height:17.6pt" o:ole="">
            <v:imagedata r:id="rId8" o:title=""/>
          </v:shape>
          <w:control r:id="rId164" w:name="DefaultOcxName1311" w:shapeid="_x0000_i1650"/>
        </w:object>
      </w:r>
      <w:r w:rsidRPr="004C09CC">
        <w:rPr>
          <w:rFonts w:ascii="Arial" w:hAnsi="Arial" w:cs="Arial"/>
        </w:rPr>
        <w:t>Disagree </w:t>
      </w:r>
      <w:r w:rsidRPr="004C09CC">
        <w:rPr>
          <w:rFonts w:ascii="Arial" w:hAnsi="Arial" w:cs="Arial"/>
        </w:rPr>
        <w:br/>
      </w:r>
      <w:r w:rsidRPr="004C09CC">
        <w:rPr>
          <w:rFonts w:ascii="Arial" w:hAnsi="Arial" w:cs="Arial"/>
        </w:rPr>
        <w:object w:dxaOrig="1440" w:dyaOrig="1440" w14:anchorId="4B885E9D">
          <v:shape id="_x0000_i1653" type="#_x0000_t75" style="width:20.1pt;height:17.6pt" o:ole="">
            <v:imagedata r:id="rId10" o:title=""/>
          </v:shape>
          <w:control r:id="rId165" w:name="DefaultOcxName1411" w:shapeid="_x0000_i1653"/>
        </w:object>
      </w:r>
      <w:r w:rsidRPr="004C09CC">
        <w:rPr>
          <w:rFonts w:ascii="Arial" w:hAnsi="Arial" w:cs="Arial"/>
        </w:rPr>
        <w:t>Strongly disagree </w:t>
      </w:r>
      <w:r w:rsidRPr="004C09CC">
        <w:rPr>
          <w:rFonts w:ascii="Arial" w:hAnsi="Arial" w:cs="Arial"/>
        </w:rPr>
        <w:br/>
      </w:r>
    </w:p>
    <w:p w:rsidR="007439ED" w:rsidRPr="004C09CC" w:rsidRDefault="007439ED" w:rsidP="007439ED">
      <w:pPr>
        <w:rPr>
          <w:rFonts w:ascii="Arial" w:hAnsi="Arial" w:cs="Arial"/>
          <w:b/>
        </w:rPr>
      </w:pPr>
      <w:r w:rsidRPr="004C09CC">
        <w:rPr>
          <w:rFonts w:ascii="Arial" w:hAnsi="Arial" w:cs="Arial"/>
          <w:b/>
          <w:bCs/>
        </w:rPr>
        <w:t>42</w:t>
      </w:r>
      <w:r w:rsidR="00EB586D" w:rsidRPr="004C09CC">
        <w:rPr>
          <w:rFonts w:ascii="Arial" w:hAnsi="Arial" w:cs="Arial"/>
          <w:b/>
          <w:bCs/>
        </w:rPr>
        <w:t xml:space="preserve"> </w:t>
      </w:r>
      <w:r w:rsidRPr="004C09CC">
        <w:rPr>
          <w:rFonts w:ascii="Arial" w:hAnsi="Arial" w:cs="Arial"/>
          <w:b/>
        </w:rPr>
        <w:t>To what extent do you agree with the transition approach proposed for introducing the universal base rate for all providers in a local authority area?</w:t>
      </w:r>
    </w:p>
    <w:p w:rsidR="007439ED" w:rsidRPr="004C09CC" w:rsidRDefault="007439ED" w:rsidP="007439ED">
      <w:pPr>
        <w:rPr>
          <w:rFonts w:ascii="Arial" w:hAnsi="Arial" w:cs="Arial"/>
          <w:b/>
          <w:bCs/>
        </w:rPr>
      </w:pPr>
      <w:r w:rsidRPr="004C09CC">
        <w:rPr>
          <w:rFonts w:ascii="Arial" w:hAnsi="Arial" w:cs="Arial"/>
        </w:rPr>
        <w:lastRenderedPageBreak/>
        <w:object w:dxaOrig="1440" w:dyaOrig="1440" w14:anchorId="63AFB397">
          <v:shape id="_x0000_i1656" type="#_x0000_t75" style="width:20.1pt;height:17.6pt" o:ole="">
            <v:imagedata r:id="rId10" o:title=""/>
          </v:shape>
          <w:control r:id="rId166" w:name="DefaultOcxName1511" w:shapeid="_x0000_i1656"/>
        </w:object>
      </w:r>
      <w:r w:rsidRPr="004C09CC">
        <w:rPr>
          <w:rFonts w:ascii="Arial" w:hAnsi="Arial" w:cs="Arial"/>
        </w:rPr>
        <w:t>Strongly agree </w:t>
      </w:r>
      <w:r w:rsidRPr="004C09CC">
        <w:rPr>
          <w:rFonts w:ascii="Arial" w:hAnsi="Arial" w:cs="Arial"/>
        </w:rPr>
        <w:br/>
      </w:r>
      <w:r w:rsidRPr="004C09CC">
        <w:rPr>
          <w:rFonts w:ascii="Arial" w:hAnsi="Arial" w:cs="Arial"/>
        </w:rPr>
        <w:object w:dxaOrig="1440" w:dyaOrig="1440" w14:anchorId="7804D67B">
          <v:shape id="_x0000_i1659" type="#_x0000_t75" style="width:20.1pt;height:17.6pt" o:ole="">
            <v:imagedata r:id="rId10" o:title=""/>
          </v:shape>
          <w:control r:id="rId167" w:name="DefaultOcxName1611" w:shapeid="_x0000_i1659"/>
        </w:object>
      </w:r>
      <w:r w:rsidRPr="004C09CC">
        <w:rPr>
          <w:rFonts w:ascii="Arial" w:hAnsi="Arial" w:cs="Arial"/>
        </w:rPr>
        <w:t>Agree </w:t>
      </w:r>
      <w:r w:rsidRPr="004C09CC">
        <w:rPr>
          <w:rFonts w:ascii="Arial" w:hAnsi="Arial" w:cs="Arial"/>
        </w:rPr>
        <w:br/>
      </w:r>
      <w:r w:rsidRPr="004C09CC">
        <w:rPr>
          <w:rFonts w:ascii="Arial" w:hAnsi="Arial" w:cs="Arial"/>
        </w:rPr>
        <w:object w:dxaOrig="1440" w:dyaOrig="1440" w14:anchorId="2BEDD3F1">
          <v:shape id="_x0000_i1662" type="#_x0000_t75" style="width:20.1pt;height:17.6pt" o:ole="">
            <v:imagedata r:id="rId10" o:title=""/>
          </v:shape>
          <w:control r:id="rId168" w:name="DefaultOcxName1711" w:shapeid="_x0000_i1662"/>
        </w:object>
      </w:r>
      <w:r w:rsidRPr="004C09CC">
        <w:rPr>
          <w:rFonts w:ascii="Arial" w:hAnsi="Arial" w:cs="Arial"/>
        </w:rPr>
        <w:t>Neither agree nor disagree </w:t>
      </w:r>
      <w:r w:rsidRPr="004C09CC">
        <w:rPr>
          <w:rFonts w:ascii="Arial" w:hAnsi="Arial" w:cs="Arial"/>
        </w:rPr>
        <w:br/>
      </w:r>
      <w:r w:rsidRPr="004C09CC">
        <w:rPr>
          <w:rFonts w:ascii="Arial" w:hAnsi="Arial" w:cs="Arial"/>
        </w:rPr>
        <w:object w:dxaOrig="1440" w:dyaOrig="1440" w14:anchorId="20747313">
          <v:shape id="_x0000_i1665" type="#_x0000_t75" style="width:20.1pt;height:17.6pt" o:ole="">
            <v:imagedata r:id="rId10" o:title=""/>
          </v:shape>
          <w:control r:id="rId169" w:name="DefaultOcxName1811" w:shapeid="_x0000_i1665"/>
        </w:object>
      </w:r>
      <w:r w:rsidRPr="004C09CC">
        <w:rPr>
          <w:rFonts w:ascii="Arial" w:hAnsi="Arial" w:cs="Arial"/>
        </w:rPr>
        <w:t>Disagree </w:t>
      </w:r>
      <w:r w:rsidRPr="004C09CC">
        <w:rPr>
          <w:rFonts w:ascii="Arial" w:hAnsi="Arial" w:cs="Arial"/>
        </w:rPr>
        <w:br/>
      </w:r>
      <w:r w:rsidRPr="004C09CC">
        <w:rPr>
          <w:rFonts w:ascii="Arial" w:hAnsi="Arial" w:cs="Arial"/>
        </w:rPr>
        <w:object w:dxaOrig="1440" w:dyaOrig="1440" w14:anchorId="5CE523BD">
          <v:shape id="_x0000_i1668" type="#_x0000_t75" style="width:20.1pt;height:17.6pt" o:ole="">
            <v:imagedata r:id="rId10" o:title=""/>
          </v:shape>
          <w:control r:id="rId170" w:name="DefaultOcxName1911" w:shapeid="_x0000_i1668"/>
        </w:object>
      </w:r>
      <w:r w:rsidRPr="004C09CC">
        <w:rPr>
          <w:rFonts w:ascii="Arial" w:hAnsi="Arial" w:cs="Arial"/>
        </w:rPr>
        <w:t>Strongly disagree </w:t>
      </w:r>
      <w:r w:rsidRPr="004C09CC">
        <w:rPr>
          <w:rFonts w:ascii="Arial" w:hAnsi="Arial" w:cs="Arial"/>
        </w:rPr>
        <w:br/>
      </w:r>
    </w:p>
    <w:p w:rsidR="007439ED" w:rsidRPr="004C09CC" w:rsidRDefault="007439ED" w:rsidP="007439ED">
      <w:pPr>
        <w:rPr>
          <w:rFonts w:ascii="Arial" w:hAnsi="Arial" w:cs="Arial"/>
          <w:b/>
        </w:rPr>
      </w:pPr>
      <w:r w:rsidRPr="004C09CC">
        <w:rPr>
          <w:rFonts w:ascii="Arial" w:hAnsi="Arial" w:cs="Arial"/>
          <w:b/>
          <w:bCs/>
        </w:rPr>
        <w:t xml:space="preserve">43 - </w:t>
      </w:r>
      <w:r w:rsidRPr="004C09CC">
        <w:rPr>
          <w:rFonts w:ascii="Arial" w:hAnsi="Arial" w:cs="Arial"/>
          <w:b/>
        </w:rPr>
        <w:t>If you want to explain a response you’ve submitted on this page in more detail, please do so here:</w:t>
      </w:r>
    </w:p>
    <w:p w:rsidR="007439ED" w:rsidRPr="004C09CC" w:rsidRDefault="007439ED" w:rsidP="007439ED">
      <w:pPr>
        <w:rPr>
          <w:rFonts w:ascii="Arial" w:hAnsi="Arial" w:cs="Arial"/>
        </w:rPr>
      </w:pPr>
      <w:r w:rsidRPr="004C09CC">
        <w:rPr>
          <w:rFonts w:ascii="Arial" w:hAnsi="Arial" w:cs="Arial"/>
        </w:rPr>
        <w:t xml:space="preserve">Though the consultation document acknowledges that the proposed changes could be challenging for many local authorities and providers, with 25% of local authorities estimated to lose funding, the proposed transitional approaches do not provide local authorities with sufficient time to facilitate these changes without disruption. </w:t>
      </w:r>
    </w:p>
    <w:p w:rsidR="00211558" w:rsidRPr="004C09CC" w:rsidRDefault="00211558" w:rsidP="007439ED">
      <w:pPr>
        <w:rPr>
          <w:rFonts w:ascii="Arial" w:hAnsi="Arial" w:cs="Arial"/>
        </w:rPr>
      </w:pPr>
      <w:r w:rsidRPr="004C09CC">
        <w:rPr>
          <w:rFonts w:ascii="Arial" w:hAnsi="Arial" w:cs="Arial"/>
          <w:color w:val="000000" w:themeColor="text1"/>
        </w:rPr>
        <w:t xml:space="preserve">Many areas that will lose funding or see the lowest gains, particularly in inner London, have serious sufficiency problems. The Department has not made the case that these areas are ‘over-funded’. </w:t>
      </w:r>
      <w:r w:rsidR="007439ED" w:rsidRPr="004C09CC">
        <w:rPr>
          <w:rFonts w:ascii="Arial" w:hAnsi="Arial" w:cs="Arial"/>
        </w:rPr>
        <w:t>For many local authorities, particularly in areas that are already struggling with sufficiency, a reduction of 10% will still represent a steep funding challenge that risks destabilising the local childcare market and exacerbating existing geographical inequalities. It should also be considered that some providers will see drops of more than 10% in the funding levels they receive from local authorities. The universal base rate and the cap on the use of supplements will mean that providers who had previously benefited from a higher rate for their sector or from supplements could stand to lose out significantly.</w:t>
      </w:r>
      <w:r w:rsidR="00F91DDF" w:rsidRPr="004C09CC">
        <w:rPr>
          <w:rFonts w:ascii="Arial" w:hAnsi="Arial" w:cs="Arial"/>
        </w:rPr>
        <w:t xml:space="preserve"> </w:t>
      </w:r>
      <w:r w:rsidR="00B448D0" w:rsidRPr="004C09CC">
        <w:rPr>
          <w:rFonts w:ascii="Arial" w:hAnsi="Arial" w:cs="Arial"/>
        </w:rPr>
        <w:t>We are concerned that the Department has not provided a</w:t>
      </w:r>
      <w:r w:rsidR="002E4B1E" w:rsidRPr="004C09CC">
        <w:rPr>
          <w:rFonts w:ascii="Arial" w:hAnsi="Arial" w:cs="Arial"/>
        </w:rPr>
        <w:t>n assessment of the response it expects among those areas and providers that will lose funding.</w:t>
      </w:r>
    </w:p>
    <w:p w:rsidR="007439ED" w:rsidRPr="004C09CC" w:rsidRDefault="007439ED" w:rsidP="007439ED">
      <w:pPr>
        <w:rPr>
          <w:rFonts w:ascii="Arial" w:hAnsi="Arial" w:cs="Arial"/>
          <w:color w:val="000000" w:themeColor="text1"/>
        </w:rPr>
      </w:pPr>
      <w:r w:rsidRPr="004C09CC">
        <w:rPr>
          <w:rFonts w:ascii="Arial" w:hAnsi="Arial" w:cs="Arial"/>
        </w:rPr>
        <w:t xml:space="preserve">We feel that the short timescale of the proposed approach is particularly unnecessary given the extra £1 billion investment in the early years provided by the government, and that a longer </w:t>
      </w:r>
      <w:r w:rsidR="002E4B1E" w:rsidRPr="004C09CC">
        <w:rPr>
          <w:rFonts w:ascii="Arial" w:hAnsi="Arial" w:cs="Arial"/>
        </w:rPr>
        <w:t xml:space="preserve">and more carefully managed transitional </w:t>
      </w:r>
      <w:r w:rsidRPr="004C09CC">
        <w:rPr>
          <w:rFonts w:ascii="Arial" w:hAnsi="Arial" w:cs="Arial"/>
        </w:rPr>
        <w:t xml:space="preserve">period would be </w:t>
      </w:r>
      <w:r w:rsidR="002E4B1E" w:rsidRPr="004C09CC">
        <w:rPr>
          <w:rFonts w:ascii="Arial" w:hAnsi="Arial" w:cs="Arial"/>
        </w:rPr>
        <w:t xml:space="preserve">sensible </w:t>
      </w:r>
      <w:r w:rsidRPr="004C09CC">
        <w:rPr>
          <w:rFonts w:ascii="Arial" w:hAnsi="Arial" w:cs="Arial"/>
        </w:rPr>
        <w:t>to avoid exacerbat</w:t>
      </w:r>
      <w:r w:rsidR="002E4B1E" w:rsidRPr="004C09CC">
        <w:rPr>
          <w:rFonts w:ascii="Arial" w:hAnsi="Arial" w:cs="Arial"/>
        </w:rPr>
        <w:t>ing sufficiency challenges</w:t>
      </w:r>
      <w:r w:rsidRPr="004C09CC">
        <w:rPr>
          <w:rFonts w:ascii="Arial" w:hAnsi="Arial" w:cs="Arial"/>
        </w:rPr>
        <w:t>.</w:t>
      </w:r>
      <w:r w:rsidR="00211558" w:rsidRPr="004C09CC">
        <w:rPr>
          <w:rFonts w:ascii="Arial" w:hAnsi="Arial" w:cs="Arial"/>
        </w:rPr>
        <w:t xml:space="preserve"> </w:t>
      </w:r>
      <w:r w:rsidR="00211558" w:rsidRPr="004C09CC">
        <w:rPr>
          <w:rFonts w:ascii="Arial" w:hAnsi="Arial" w:cs="Arial"/>
          <w:color w:val="000000" w:themeColor="text1"/>
        </w:rPr>
        <w:t xml:space="preserve">In addition to extending the transitional period, the Department should explore ways of including sufficiency in the national funding formula. This might for example mean an adjustment for the distance from a take-up target. This element of funding might be conditional on a sufficiency action plan or other conditions so that extra funding is used effectively and as intended. </w:t>
      </w:r>
    </w:p>
    <w:p w:rsidR="00DE6360" w:rsidRPr="004C09CC" w:rsidRDefault="007439ED" w:rsidP="007439ED">
      <w:pPr>
        <w:rPr>
          <w:rFonts w:ascii="Arial" w:hAnsi="Arial" w:cs="Arial"/>
        </w:rPr>
      </w:pPr>
      <w:r w:rsidRPr="004C09CC">
        <w:rPr>
          <w:rFonts w:ascii="Arial" w:hAnsi="Arial" w:cs="Arial"/>
        </w:rPr>
        <w:t xml:space="preserve">We recognise that the proposed 95% pass-through of funding from local authorities to childcare </w:t>
      </w:r>
      <w:r w:rsidR="00091F18">
        <w:rPr>
          <w:rFonts w:ascii="Arial" w:hAnsi="Arial" w:cs="Arial"/>
        </w:rPr>
        <w:t>providers will encourage funding to reach the frontline, the minimum funding guarantee is still necessary</w:t>
      </w:r>
      <w:r w:rsidRPr="004C09CC">
        <w:rPr>
          <w:rFonts w:ascii="Arial" w:hAnsi="Arial" w:cs="Arial"/>
        </w:rPr>
        <w:t xml:space="preserve">. </w:t>
      </w:r>
      <w:r w:rsidR="00091F18">
        <w:rPr>
          <w:rFonts w:ascii="Arial" w:hAnsi="Arial" w:cs="Arial"/>
        </w:rPr>
        <w:t>It</w:t>
      </w:r>
      <w:r w:rsidR="00C51110" w:rsidRPr="004C09CC">
        <w:rPr>
          <w:rFonts w:ascii="Arial" w:hAnsi="Arial" w:cs="Arial"/>
        </w:rPr>
        <w:t xml:space="preserve"> is proposed that local authorities will no longer be able to use different base rates and supplements will be capped</w:t>
      </w:r>
      <w:r w:rsidRPr="004C09CC">
        <w:rPr>
          <w:rFonts w:ascii="Arial" w:hAnsi="Arial" w:cs="Arial"/>
        </w:rPr>
        <w:t>,</w:t>
      </w:r>
      <w:r w:rsidR="00091F18">
        <w:rPr>
          <w:rFonts w:ascii="Arial" w:hAnsi="Arial" w:cs="Arial"/>
        </w:rPr>
        <w:t xml:space="preserve"> meaning</w:t>
      </w:r>
      <w:r w:rsidRPr="004C09CC">
        <w:rPr>
          <w:rFonts w:ascii="Arial" w:hAnsi="Arial" w:cs="Arial"/>
        </w:rPr>
        <w:t xml:space="preserve"> </w:t>
      </w:r>
      <w:r w:rsidR="00C51110" w:rsidRPr="004C09CC">
        <w:rPr>
          <w:rFonts w:ascii="Arial" w:hAnsi="Arial" w:cs="Arial"/>
        </w:rPr>
        <w:t>some</w:t>
      </w:r>
      <w:r w:rsidRPr="004C09CC">
        <w:rPr>
          <w:rFonts w:ascii="Arial" w:hAnsi="Arial" w:cs="Arial"/>
        </w:rPr>
        <w:t xml:space="preserve"> providers could face a potentially large and disruptive drop in funding. For this reason, we feel that the existing minimum funding guarantee remains necessary </w:t>
      </w:r>
      <w:r w:rsidR="00211558" w:rsidRPr="004C09CC">
        <w:rPr>
          <w:rFonts w:ascii="Arial" w:hAnsi="Arial" w:cs="Arial"/>
        </w:rPr>
        <w:t xml:space="preserve">and should remain at </w:t>
      </w:r>
      <w:r w:rsidRPr="004C09CC">
        <w:rPr>
          <w:rFonts w:ascii="Arial" w:hAnsi="Arial" w:cs="Arial"/>
        </w:rPr>
        <w:t>1.5</w:t>
      </w:r>
      <w:r w:rsidR="00211558" w:rsidRPr="004C09CC">
        <w:rPr>
          <w:rFonts w:ascii="Arial" w:hAnsi="Arial" w:cs="Arial"/>
        </w:rPr>
        <w:t>%.</w:t>
      </w:r>
    </w:p>
    <w:p w:rsidR="007439ED" w:rsidRPr="004C09CC" w:rsidRDefault="007439ED" w:rsidP="007439ED">
      <w:pPr>
        <w:rPr>
          <w:rFonts w:ascii="Arial" w:hAnsi="Arial" w:cs="Arial"/>
        </w:rPr>
      </w:pPr>
    </w:p>
    <w:p w:rsidR="007439ED" w:rsidRPr="004C09CC" w:rsidRDefault="007439ED">
      <w:pPr>
        <w:rPr>
          <w:rFonts w:ascii="Arial" w:hAnsi="Arial" w:cs="Arial"/>
        </w:rPr>
      </w:pPr>
    </w:p>
    <w:sectPr w:rsidR="007439ED" w:rsidRPr="004C09C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6599" w:rsidRDefault="00C16599" w:rsidP="003B3C4F">
      <w:pPr>
        <w:spacing w:after="0" w:line="240" w:lineRule="auto"/>
      </w:pPr>
      <w:r>
        <w:separator/>
      </w:r>
    </w:p>
  </w:endnote>
  <w:endnote w:type="continuationSeparator" w:id="0">
    <w:p w:rsidR="00C16599" w:rsidRDefault="00C16599" w:rsidP="003B3C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6599" w:rsidRDefault="00C16599" w:rsidP="003B3C4F">
      <w:pPr>
        <w:spacing w:after="0" w:line="240" w:lineRule="auto"/>
      </w:pPr>
      <w:r>
        <w:separator/>
      </w:r>
    </w:p>
  </w:footnote>
  <w:footnote w:type="continuationSeparator" w:id="0">
    <w:p w:rsidR="00C16599" w:rsidRDefault="00C16599" w:rsidP="003B3C4F">
      <w:pPr>
        <w:spacing w:after="0" w:line="240" w:lineRule="auto"/>
      </w:pPr>
      <w:r>
        <w:continuationSeparator/>
      </w:r>
    </w:p>
  </w:footnote>
  <w:footnote w:id="1">
    <w:p w:rsidR="00C16599" w:rsidRDefault="00C16599" w:rsidP="007439ED">
      <w:pPr>
        <w:pStyle w:val="FootnoteText"/>
      </w:pPr>
      <w:r>
        <w:rPr>
          <w:rStyle w:val="FootnoteReference"/>
        </w:rPr>
        <w:footnoteRef/>
      </w:r>
      <w:r>
        <w:t xml:space="preserve"> </w:t>
      </w:r>
      <w:r w:rsidRPr="000E04D3">
        <w:t xml:space="preserve"> </w:t>
      </w:r>
      <w:r>
        <w:t xml:space="preserve">Sylva et al (2004), </w:t>
      </w:r>
      <w:r w:rsidRPr="00352934">
        <w:rPr>
          <w:i/>
        </w:rPr>
        <w:t xml:space="preserve">The Effective Provision of Pre-School Education Project </w:t>
      </w:r>
    </w:p>
  </w:footnote>
  <w:footnote w:id="2">
    <w:p w:rsidR="00C16599" w:rsidRPr="00FA2804" w:rsidRDefault="00C16599" w:rsidP="007439ED">
      <w:pPr>
        <w:pStyle w:val="FootnoteText"/>
      </w:pPr>
      <w:r>
        <w:rPr>
          <w:rStyle w:val="FootnoteReference"/>
        </w:rPr>
        <w:footnoteRef/>
      </w:r>
      <w:r>
        <w:t xml:space="preserve"> Maughan, C., Rutter, J., and Butler, A., (2016) </w:t>
      </w:r>
      <w:r w:rsidRPr="00FA2804">
        <w:rPr>
          <w:i/>
        </w:rPr>
        <w:t>In for a pound</w:t>
      </w:r>
      <w:r>
        <w:rPr>
          <w:i/>
        </w:rPr>
        <w:t>.</w:t>
      </w:r>
      <w:r>
        <w:t xml:space="preserve"> London: Family and Childcare Trust</w:t>
      </w:r>
    </w:p>
  </w:footnote>
  <w:footnote w:id="3">
    <w:p w:rsidR="00C16599" w:rsidRDefault="00C16599">
      <w:pPr>
        <w:pStyle w:val="FootnoteText"/>
      </w:pPr>
      <w:r>
        <w:rPr>
          <w:rStyle w:val="FootnoteReference"/>
        </w:rPr>
        <w:footnoteRef/>
      </w:r>
      <w:r>
        <w:t xml:space="preserve"> Mathers, S, </w:t>
      </w:r>
      <w:r w:rsidRPr="008836FB">
        <w:t>Soukakou,</w:t>
      </w:r>
      <w:r>
        <w:t xml:space="preserve"> E., </w:t>
      </w:r>
      <w:r w:rsidRPr="008836FB">
        <w:t>Ereky-Stevens,</w:t>
      </w:r>
      <w:r>
        <w:t xml:space="preserve"> K., </w:t>
      </w:r>
      <w:r w:rsidRPr="008836FB">
        <w:t>Sylva,</w:t>
      </w:r>
      <w:r>
        <w:t xml:space="preserve"> K. and </w:t>
      </w:r>
      <w:r w:rsidRPr="008836FB">
        <w:t>Eisenstadt,</w:t>
      </w:r>
      <w:r>
        <w:t xml:space="preserve"> N.</w:t>
      </w:r>
      <w:r w:rsidRPr="008836FB">
        <w:t xml:space="preserve"> </w:t>
      </w:r>
      <w:r>
        <w:t xml:space="preserve">(2014) </w:t>
      </w:r>
      <w:r w:rsidRPr="00352934">
        <w:rPr>
          <w:i/>
        </w:rPr>
        <w:t>Sound Foundations: A Review of the Research Evidence on Quality of Early Childhood Education and Care for Children under Three</w:t>
      </w:r>
      <w:r>
        <w:t>. London: Sutton Trust</w:t>
      </w:r>
    </w:p>
  </w:footnote>
  <w:footnote w:id="4">
    <w:p w:rsidR="00C16599" w:rsidRDefault="00C16599">
      <w:pPr>
        <w:pStyle w:val="FootnoteText"/>
      </w:pPr>
      <w:r>
        <w:rPr>
          <w:rStyle w:val="FootnoteReference"/>
        </w:rPr>
        <w:footnoteRef/>
      </w:r>
      <w:r>
        <w:t xml:space="preserve"> Rutter, J., </w:t>
      </w:r>
      <w:r w:rsidRPr="00352934">
        <w:rPr>
          <w:i/>
        </w:rPr>
        <w:t>Innovation in Childcare</w:t>
      </w:r>
      <w:r>
        <w:t xml:space="preserve"> (2016). London: Family and Childcare Trust</w:t>
      </w:r>
    </w:p>
  </w:footnote>
  <w:footnote w:id="5">
    <w:p w:rsidR="00C16599" w:rsidRPr="00322E76" w:rsidRDefault="00C16599" w:rsidP="003B3C4F">
      <w:pPr>
        <w:rPr>
          <w:rFonts w:eastAsia="Times New Roman" w:cs="Arial"/>
          <w:sz w:val="20"/>
          <w:szCs w:val="20"/>
          <w:lang w:eastAsia="en-GB"/>
        </w:rPr>
      </w:pPr>
      <w:r>
        <w:rPr>
          <w:rStyle w:val="FootnoteReference"/>
        </w:rPr>
        <w:footnoteRef/>
      </w:r>
      <w:r>
        <w:t xml:space="preserve"> </w:t>
      </w:r>
      <w:r w:rsidRPr="00322E76">
        <w:rPr>
          <w:sz w:val="20"/>
          <w:szCs w:val="20"/>
        </w:rPr>
        <w:t xml:space="preserve">For example, </w:t>
      </w:r>
      <w:r w:rsidRPr="00322E76">
        <w:rPr>
          <w:rFonts w:eastAsia="Times New Roman" w:cs="Arial"/>
          <w:sz w:val="20"/>
          <w:szCs w:val="20"/>
          <w:lang w:eastAsia="en-GB"/>
        </w:rPr>
        <w:t xml:space="preserve">Hadfield, M., Jopling, M., Needham, M., Waller, T., Coleyshaw, L., Emira, M. &amp; Royle, K. (2012) </w:t>
      </w:r>
      <w:r w:rsidRPr="00322E76">
        <w:rPr>
          <w:rFonts w:eastAsia="Times New Roman" w:cs="Arial"/>
          <w:i/>
          <w:sz w:val="20"/>
          <w:szCs w:val="20"/>
          <w:lang w:eastAsia="en-GB"/>
        </w:rPr>
        <w:t>Longitudinal Study of Early Years Professional Status: An exploration of progress, leadership and impact</w:t>
      </w:r>
      <w:r w:rsidRPr="00322E76">
        <w:rPr>
          <w:rFonts w:eastAsia="Times New Roman" w:cs="Arial"/>
          <w:sz w:val="20"/>
          <w:szCs w:val="20"/>
          <w:lang w:eastAsia="en-GB"/>
        </w:rPr>
        <w:t xml:space="preserve">, Department of Education. Mathers or S., Ranns, H., Karemaker, A., Moody, A., Sylva, K., Graham, J., and Siraj-Blatchford, I. (2011). </w:t>
      </w:r>
      <w:r w:rsidRPr="00322E76">
        <w:rPr>
          <w:rFonts w:eastAsia="Times New Roman" w:cs="Arial"/>
          <w:i/>
          <w:sz w:val="20"/>
          <w:szCs w:val="20"/>
          <w:lang w:eastAsia="en-GB"/>
        </w:rPr>
        <w:t>Evaluation of the Graduate Leader Fund: Final report</w:t>
      </w:r>
      <w:r w:rsidRPr="00322E76">
        <w:rPr>
          <w:rFonts w:eastAsia="Times New Roman" w:cs="Arial"/>
          <w:sz w:val="20"/>
          <w:szCs w:val="20"/>
          <w:lang w:eastAsia="en-GB"/>
        </w:rPr>
        <w:t>, Department for Education</w:t>
      </w:r>
    </w:p>
  </w:footnote>
  <w:footnote w:id="6">
    <w:p w:rsidR="00C16599" w:rsidRDefault="00C16599" w:rsidP="003B3C4F">
      <w:pPr>
        <w:pStyle w:val="FootnoteText"/>
      </w:pPr>
      <w:r>
        <w:rPr>
          <w:rStyle w:val="FootnoteReference"/>
        </w:rPr>
        <w:footnoteRef/>
      </w:r>
      <w:r>
        <w:t xml:space="preserve"> Brind, R., McGinigal, S., Lewis, J., and Ghezelayagh, S. (TNS BMRB), with Ransom, H. Robson, J., Street, C. and Renton, Z. (NCB Research Centre) (2014) </w:t>
      </w:r>
      <w:r w:rsidRPr="00352934">
        <w:rPr>
          <w:i/>
        </w:rPr>
        <w:t>Childcare and Early Years Providers Survey 2013</w:t>
      </w:r>
      <w:r>
        <w:t>. London: Department for Education</w:t>
      </w:r>
    </w:p>
  </w:footnote>
  <w:footnote w:id="7">
    <w:p w:rsidR="00C16599" w:rsidRDefault="00C16599">
      <w:pPr>
        <w:pStyle w:val="FootnoteText"/>
      </w:pPr>
      <w:r>
        <w:rPr>
          <w:rStyle w:val="FootnoteReference"/>
        </w:rPr>
        <w:footnoteRef/>
      </w:r>
      <w:r>
        <w:t xml:space="preserve"> 28 local authorities offer a different hourly rate for childminders. 20 offer a higher rate and 8 offer a lower rate. Butler, A and Hardy, G (2016) </w:t>
      </w:r>
      <w:r w:rsidRPr="00352934">
        <w:rPr>
          <w:i/>
        </w:rPr>
        <w:t>Driving quality childcare: the role of local authorities</w:t>
      </w:r>
      <w:r>
        <w:t>. London: Family and Childcare Trust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D2C58"/>
    <w:multiLevelType w:val="hybridMultilevel"/>
    <w:tmpl w:val="6F1E4C0A"/>
    <w:lvl w:ilvl="0" w:tplc="7FD81F5C">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4962D69"/>
    <w:multiLevelType w:val="hybridMultilevel"/>
    <w:tmpl w:val="803034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14A61B6"/>
    <w:multiLevelType w:val="hybridMultilevel"/>
    <w:tmpl w:val="43684346"/>
    <w:lvl w:ilvl="0" w:tplc="6994B82E">
      <w:start w:val="10"/>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7CA62F80"/>
    <w:multiLevelType w:val="hybridMultilevel"/>
    <w:tmpl w:val="00BC7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F2924A6"/>
    <w:multiLevelType w:val="hybridMultilevel"/>
    <w:tmpl w:val="0D283D2C"/>
    <w:lvl w:ilvl="0" w:tplc="9C806110">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C4F"/>
    <w:rsid w:val="0000694D"/>
    <w:rsid w:val="00013BF8"/>
    <w:rsid w:val="00043B31"/>
    <w:rsid w:val="000477AF"/>
    <w:rsid w:val="000738D9"/>
    <w:rsid w:val="00091F18"/>
    <w:rsid w:val="000E04D3"/>
    <w:rsid w:val="00195552"/>
    <w:rsid w:val="001D5677"/>
    <w:rsid w:val="00211558"/>
    <w:rsid w:val="002A7581"/>
    <w:rsid w:val="002C3CEF"/>
    <w:rsid w:val="002E4B1E"/>
    <w:rsid w:val="00322E76"/>
    <w:rsid w:val="00345B0E"/>
    <w:rsid w:val="00352934"/>
    <w:rsid w:val="003A58C8"/>
    <w:rsid w:val="003B1CEE"/>
    <w:rsid w:val="003B3C4F"/>
    <w:rsid w:val="003E5C02"/>
    <w:rsid w:val="0046454F"/>
    <w:rsid w:val="004B2E1D"/>
    <w:rsid w:val="004C09CC"/>
    <w:rsid w:val="004E58E5"/>
    <w:rsid w:val="00517C0A"/>
    <w:rsid w:val="0053675C"/>
    <w:rsid w:val="005378DE"/>
    <w:rsid w:val="00546A38"/>
    <w:rsid w:val="00574958"/>
    <w:rsid w:val="005D77E5"/>
    <w:rsid w:val="00623781"/>
    <w:rsid w:val="00637831"/>
    <w:rsid w:val="00642ADF"/>
    <w:rsid w:val="006A2A6A"/>
    <w:rsid w:val="006F4336"/>
    <w:rsid w:val="006F57EC"/>
    <w:rsid w:val="0073735F"/>
    <w:rsid w:val="007439ED"/>
    <w:rsid w:val="00782219"/>
    <w:rsid w:val="007C33A4"/>
    <w:rsid w:val="0084415D"/>
    <w:rsid w:val="008836FB"/>
    <w:rsid w:val="008A2F76"/>
    <w:rsid w:val="008F5161"/>
    <w:rsid w:val="00904935"/>
    <w:rsid w:val="00905A03"/>
    <w:rsid w:val="00905B49"/>
    <w:rsid w:val="00944CAE"/>
    <w:rsid w:val="00970B97"/>
    <w:rsid w:val="0099064C"/>
    <w:rsid w:val="00990D6C"/>
    <w:rsid w:val="00992E9A"/>
    <w:rsid w:val="00A401C8"/>
    <w:rsid w:val="00AD4850"/>
    <w:rsid w:val="00AD5F20"/>
    <w:rsid w:val="00B05E10"/>
    <w:rsid w:val="00B177BF"/>
    <w:rsid w:val="00B371F3"/>
    <w:rsid w:val="00B448D0"/>
    <w:rsid w:val="00B733EA"/>
    <w:rsid w:val="00BA6851"/>
    <w:rsid w:val="00C16599"/>
    <w:rsid w:val="00C51110"/>
    <w:rsid w:val="00C539D6"/>
    <w:rsid w:val="00C76160"/>
    <w:rsid w:val="00CA2DC5"/>
    <w:rsid w:val="00D32CEB"/>
    <w:rsid w:val="00D64496"/>
    <w:rsid w:val="00D958F0"/>
    <w:rsid w:val="00DD5E0F"/>
    <w:rsid w:val="00DE6360"/>
    <w:rsid w:val="00DE7E22"/>
    <w:rsid w:val="00E50513"/>
    <w:rsid w:val="00EB586D"/>
    <w:rsid w:val="00EC3DD1"/>
    <w:rsid w:val="00F71126"/>
    <w:rsid w:val="00F741E5"/>
    <w:rsid w:val="00F91DDF"/>
    <w:rsid w:val="00FE43B0"/>
    <w:rsid w:val="00FE6AE1"/>
    <w:rsid w:val="00FF4A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85"/>
    <o:shapelayout v:ext="edit">
      <o:idmap v:ext="edit" data="1"/>
    </o:shapelayout>
  </w:shapeDefaults>
  <w:decimalSymbol w:val="."/>
  <w:listSeparator w:val=","/>
  <w15:docId w15:val="{E0E235F6-CFFC-4772-8986-9CD5086EF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3C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3B3C4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B3C4F"/>
    <w:rPr>
      <w:sz w:val="20"/>
      <w:szCs w:val="20"/>
    </w:rPr>
  </w:style>
  <w:style w:type="character" w:styleId="FootnoteReference">
    <w:name w:val="footnote reference"/>
    <w:basedOn w:val="DefaultParagraphFont"/>
    <w:uiPriority w:val="99"/>
    <w:semiHidden/>
    <w:unhideWhenUsed/>
    <w:rsid w:val="003B3C4F"/>
    <w:rPr>
      <w:vertAlign w:val="superscript"/>
    </w:rPr>
  </w:style>
  <w:style w:type="paragraph" w:styleId="z-TopofForm">
    <w:name w:val="HTML Top of Form"/>
    <w:basedOn w:val="Normal"/>
    <w:next w:val="Normal"/>
    <w:link w:val="z-TopofFormChar"/>
    <w:hidden/>
    <w:uiPriority w:val="99"/>
    <w:semiHidden/>
    <w:unhideWhenUsed/>
    <w:rsid w:val="008F5161"/>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8F5161"/>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8F5161"/>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8F5161"/>
    <w:rPr>
      <w:rFonts w:ascii="Arial" w:hAnsi="Arial" w:cs="Arial"/>
      <w:vanish/>
      <w:sz w:val="16"/>
      <w:szCs w:val="16"/>
    </w:rPr>
  </w:style>
  <w:style w:type="character" w:styleId="CommentReference">
    <w:name w:val="annotation reference"/>
    <w:basedOn w:val="DefaultParagraphFont"/>
    <w:uiPriority w:val="99"/>
    <w:semiHidden/>
    <w:unhideWhenUsed/>
    <w:rsid w:val="00B371F3"/>
    <w:rPr>
      <w:sz w:val="16"/>
      <w:szCs w:val="16"/>
    </w:rPr>
  </w:style>
  <w:style w:type="paragraph" w:styleId="CommentText">
    <w:name w:val="annotation text"/>
    <w:basedOn w:val="Normal"/>
    <w:link w:val="CommentTextChar"/>
    <w:uiPriority w:val="99"/>
    <w:unhideWhenUsed/>
    <w:rsid w:val="00B371F3"/>
    <w:pPr>
      <w:spacing w:line="240" w:lineRule="auto"/>
    </w:pPr>
    <w:rPr>
      <w:sz w:val="20"/>
      <w:szCs w:val="20"/>
    </w:rPr>
  </w:style>
  <w:style w:type="character" w:customStyle="1" w:styleId="CommentTextChar">
    <w:name w:val="Comment Text Char"/>
    <w:basedOn w:val="DefaultParagraphFont"/>
    <w:link w:val="CommentText"/>
    <w:uiPriority w:val="99"/>
    <w:rsid w:val="00B371F3"/>
    <w:rPr>
      <w:sz w:val="20"/>
      <w:szCs w:val="20"/>
    </w:rPr>
  </w:style>
  <w:style w:type="paragraph" w:styleId="CommentSubject">
    <w:name w:val="annotation subject"/>
    <w:basedOn w:val="CommentText"/>
    <w:next w:val="CommentText"/>
    <w:link w:val="CommentSubjectChar"/>
    <w:uiPriority w:val="99"/>
    <w:semiHidden/>
    <w:unhideWhenUsed/>
    <w:rsid w:val="00B371F3"/>
    <w:rPr>
      <w:b/>
      <w:bCs/>
    </w:rPr>
  </w:style>
  <w:style w:type="character" w:customStyle="1" w:styleId="CommentSubjectChar">
    <w:name w:val="Comment Subject Char"/>
    <w:basedOn w:val="CommentTextChar"/>
    <w:link w:val="CommentSubject"/>
    <w:uiPriority w:val="99"/>
    <w:semiHidden/>
    <w:rsid w:val="00B371F3"/>
    <w:rPr>
      <w:b/>
      <w:bCs/>
      <w:sz w:val="20"/>
      <w:szCs w:val="20"/>
    </w:rPr>
  </w:style>
  <w:style w:type="paragraph" w:styleId="BalloonText">
    <w:name w:val="Balloon Text"/>
    <w:basedOn w:val="Normal"/>
    <w:link w:val="BalloonTextChar"/>
    <w:uiPriority w:val="99"/>
    <w:semiHidden/>
    <w:unhideWhenUsed/>
    <w:rsid w:val="00B371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71F3"/>
    <w:rPr>
      <w:rFonts w:ascii="Tahoma" w:hAnsi="Tahoma" w:cs="Tahoma"/>
      <w:sz w:val="16"/>
      <w:szCs w:val="16"/>
    </w:rPr>
  </w:style>
  <w:style w:type="paragraph" w:styleId="Revision">
    <w:name w:val="Revision"/>
    <w:hidden/>
    <w:uiPriority w:val="99"/>
    <w:semiHidden/>
    <w:rsid w:val="006A2A6A"/>
    <w:pPr>
      <w:spacing w:after="0" w:line="240" w:lineRule="auto"/>
    </w:pPr>
  </w:style>
  <w:style w:type="paragraph" w:styleId="NoSpacing">
    <w:name w:val="No Spacing"/>
    <w:uiPriority w:val="1"/>
    <w:qFormat/>
    <w:rsid w:val="007439ED"/>
    <w:pPr>
      <w:spacing w:after="0" w:line="240" w:lineRule="auto"/>
    </w:pPr>
  </w:style>
  <w:style w:type="paragraph" w:styleId="ListParagraph">
    <w:name w:val="List Paragraph"/>
    <w:basedOn w:val="Normal"/>
    <w:uiPriority w:val="34"/>
    <w:qFormat/>
    <w:rsid w:val="007439ED"/>
    <w:pPr>
      <w:spacing w:after="200" w:line="276" w:lineRule="auto"/>
      <w:ind w:left="720"/>
      <w:contextualSpacing/>
    </w:pPr>
  </w:style>
  <w:style w:type="character" w:styleId="Hyperlink">
    <w:name w:val="Hyperlink"/>
    <w:basedOn w:val="DefaultParagraphFont"/>
    <w:uiPriority w:val="99"/>
    <w:unhideWhenUsed/>
    <w:rsid w:val="007439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483418">
      <w:bodyDiv w:val="1"/>
      <w:marLeft w:val="0"/>
      <w:marRight w:val="0"/>
      <w:marTop w:val="0"/>
      <w:marBottom w:val="0"/>
      <w:divBdr>
        <w:top w:val="none" w:sz="0" w:space="0" w:color="auto"/>
        <w:left w:val="none" w:sz="0" w:space="0" w:color="auto"/>
        <w:bottom w:val="none" w:sz="0" w:space="0" w:color="auto"/>
        <w:right w:val="none" w:sz="0" w:space="0" w:color="auto"/>
      </w:divBdr>
    </w:div>
    <w:div w:id="1293824720">
      <w:bodyDiv w:val="1"/>
      <w:marLeft w:val="0"/>
      <w:marRight w:val="0"/>
      <w:marTop w:val="0"/>
      <w:marBottom w:val="0"/>
      <w:divBdr>
        <w:top w:val="none" w:sz="0" w:space="0" w:color="auto"/>
        <w:left w:val="none" w:sz="0" w:space="0" w:color="auto"/>
        <w:bottom w:val="none" w:sz="0" w:space="0" w:color="auto"/>
        <w:right w:val="none" w:sz="0" w:space="0" w:color="auto"/>
      </w:divBdr>
      <w:divsChild>
        <w:div w:id="997729296">
          <w:marLeft w:val="0"/>
          <w:marRight w:val="0"/>
          <w:marTop w:val="0"/>
          <w:marBottom w:val="0"/>
          <w:divBdr>
            <w:top w:val="none" w:sz="0" w:space="0" w:color="auto"/>
            <w:left w:val="none" w:sz="0" w:space="0" w:color="auto"/>
            <w:bottom w:val="none" w:sz="0" w:space="0" w:color="auto"/>
            <w:right w:val="none" w:sz="0" w:space="0" w:color="auto"/>
          </w:divBdr>
          <w:divsChild>
            <w:div w:id="383070309">
              <w:marLeft w:val="0"/>
              <w:marRight w:val="0"/>
              <w:marTop w:val="0"/>
              <w:marBottom w:val="240"/>
              <w:divBdr>
                <w:top w:val="none" w:sz="0" w:space="0" w:color="auto"/>
                <w:left w:val="none" w:sz="0" w:space="0" w:color="auto"/>
                <w:bottom w:val="none" w:sz="0" w:space="0" w:color="auto"/>
                <w:right w:val="none" w:sz="0" w:space="0" w:color="auto"/>
              </w:divBdr>
              <w:divsChild>
                <w:div w:id="30535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823472">
          <w:marLeft w:val="0"/>
          <w:marRight w:val="0"/>
          <w:marTop w:val="0"/>
          <w:marBottom w:val="0"/>
          <w:divBdr>
            <w:top w:val="none" w:sz="0" w:space="0" w:color="auto"/>
            <w:left w:val="none" w:sz="0" w:space="0" w:color="auto"/>
            <w:bottom w:val="none" w:sz="0" w:space="0" w:color="auto"/>
            <w:right w:val="none" w:sz="0" w:space="0" w:color="auto"/>
          </w:divBdr>
        </w:div>
        <w:div w:id="578367254">
          <w:marLeft w:val="0"/>
          <w:marRight w:val="0"/>
          <w:marTop w:val="0"/>
          <w:marBottom w:val="0"/>
          <w:divBdr>
            <w:top w:val="none" w:sz="0" w:space="0" w:color="auto"/>
            <w:left w:val="none" w:sz="0" w:space="0" w:color="auto"/>
            <w:bottom w:val="none" w:sz="0" w:space="0" w:color="auto"/>
            <w:right w:val="none" w:sz="0" w:space="0" w:color="auto"/>
          </w:divBdr>
          <w:divsChild>
            <w:div w:id="732241032">
              <w:marLeft w:val="0"/>
              <w:marRight w:val="0"/>
              <w:marTop w:val="0"/>
              <w:marBottom w:val="240"/>
              <w:divBdr>
                <w:top w:val="none" w:sz="0" w:space="0" w:color="auto"/>
                <w:left w:val="none" w:sz="0" w:space="0" w:color="auto"/>
                <w:bottom w:val="none" w:sz="0" w:space="0" w:color="auto"/>
                <w:right w:val="none" w:sz="0" w:space="0" w:color="auto"/>
              </w:divBdr>
              <w:divsChild>
                <w:div w:id="77294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299327">
          <w:marLeft w:val="0"/>
          <w:marRight w:val="0"/>
          <w:marTop w:val="0"/>
          <w:marBottom w:val="0"/>
          <w:divBdr>
            <w:top w:val="none" w:sz="0" w:space="0" w:color="auto"/>
            <w:left w:val="none" w:sz="0" w:space="0" w:color="auto"/>
            <w:bottom w:val="none" w:sz="0" w:space="0" w:color="auto"/>
            <w:right w:val="none" w:sz="0" w:space="0" w:color="auto"/>
          </w:divBdr>
        </w:div>
      </w:divsChild>
    </w:div>
    <w:div w:id="1457791852">
      <w:bodyDiv w:val="1"/>
      <w:marLeft w:val="0"/>
      <w:marRight w:val="0"/>
      <w:marTop w:val="0"/>
      <w:marBottom w:val="0"/>
      <w:divBdr>
        <w:top w:val="none" w:sz="0" w:space="0" w:color="auto"/>
        <w:left w:val="none" w:sz="0" w:space="0" w:color="auto"/>
        <w:bottom w:val="none" w:sz="0" w:space="0" w:color="auto"/>
        <w:right w:val="none" w:sz="0" w:space="0" w:color="auto"/>
      </w:divBdr>
      <w:divsChild>
        <w:div w:id="2130735848">
          <w:marLeft w:val="0"/>
          <w:marRight w:val="0"/>
          <w:marTop w:val="0"/>
          <w:marBottom w:val="0"/>
          <w:divBdr>
            <w:top w:val="none" w:sz="0" w:space="0" w:color="auto"/>
            <w:left w:val="none" w:sz="0" w:space="0" w:color="auto"/>
            <w:bottom w:val="none" w:sz="0" w:space="0" w:color="auto"/>
            <w:right w:val="none" w:sz="0" w:space="0" w:color="auto"/>
          </w:divBdr>
          <w:divsChild>
            <w:div w:id="303389756">
              <w:marLeft w:val="0"/>
              <w:marRight w:val="0"/>
              <w:marTop w:val="0"/>
              <w:marBottom w:val="240"/>
              <w:divBdr>
                <w:top w:val="none" w:sz="0" w:space="0" w:color="auto"/>
                <w:left w:val="none" w:sz="0" w:space="0" w:color="auto"/>
                <w:bottom w:val="none" w:sz="0" w:space="0" w:color="auto"/>
                <w:right w:val="none" w:sz="0" w:space="0" w:color="auto"/>
              </w:divBdr>
              <w:divsChild>
                <w:div w:id="191681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187630">
          <w:marLeft w:val="0"/>
          <w:marRight w:val="0"/>
          <w:marTop w:val="0"/>
          <w:marBottom w:val="0"/>
          <w:divBdr>
            <w:top w:val="none" w:sz="0" w:space="0" w:color="auto"/>
            <w:left w:val="none" w:sz="0" w:space="0" w:color="auto"/>
            <w:bottom w:val="none" w:sz="0" w:space="0" w:color="auto"/>
            <w:right w:val="none" w:sz="0" w:space="0" w:color="auto"/>
          </w:divBdr>
        </w:div>
        <w:div w:id="2083139869">
          <w:marLeft w:val="0"/>
          <w:marRight w:val="0"/>
          <w:marTop w:val="0"/>
          <w:marBottom w:val="0"/>
          <w:divBdr>
            <w:top w:val="none" w:sz="0" w:space="0" w:color="auto"/>
            <w:left w:val="none" w:sz="0" w:space="0" w:color="auto"/>
            <w:bottom w:val="none" w:sz="0" w:space="0" w:color="auto"/>
            <w:right w:val="none" w:sz="0" w:space="0" w:color="auto"/>
          </w:divBdr>
        </w:div>
        <w:div w:id="8115608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control" Target="activeX/activeX17.xml"/><Relationship Id="rId117" Type="http://schemas.openxmlformats.org/officeDocument/2006/relationships/control" Target="activeX/activeX106.xml"/><Relationship Id="rId21" Type="http://schemas.openxmlformats.org/officeDocument/2006/relationships/control" Target="activeX/activeX12.xml"/><Relationship Id="rId42" Type="http://schemas.openxmlformats.org/officeDocument/2006/relationships/control" Target="activeX/activeX33.xml"/><Relationship Id="rId47" Type="http://schemas.openxmlformats.org/officeDocument/2006/relationships/control" Target="activeX/activeX38.xml"/><Relationship Id="rId63" Type="http://schemas.openxmlformats.org/officeDocument/2006/relationships/control" Target="activeX/activeX54.xml"/><Relationship Id="rId68" Type="http://schemas.openxmlformats.org/officeDocument/2006/relationships/control" Target="activeX/activeX59.xml"/><Relationship Id="rId84" Type="http://schemas.openxmlformats.org/officeDocument/2006/relationships/control" Target="activeX/activeX74.xml"/><Relationship Id="rId89" Type="http://schemas.openxmlformats.org/officeDocument/2006/relationships/control" Target="activeX/activeX78.xml"/><Relationship Id="rId112" Type="http://schemas.openxmlformats.org/officeDocument/2006/relationships/control" Target="activeX/activeX101.xml"/><Relationship Id="rId133" Type="http://schemas.openxmlformats.org/officeDocument/2006/relationships/control" Target="activeX/activeX122.xml"/><Relationship Id="rId138" Type="http://schemas.openxmlformats.org/officeDocument/2006/relationships/control" Target="activeX/activeX127.xml"/><Relationship Id="rId154" Type="http://schemas.openxmlformats.org/officeDocument/2006/relationships/control" Target="activeX/activeX143.xml"/><Relationship Id="rId159" Type="http://schemas.openxmlformats.org/officeDocument/2006/relationships/control" Target="activeX/activeX148.xml"/><Relationship Id="rId170" Type="http://schemas.openxmlformats.org/officeDocument/2006/relationships/control" Target="activeX/activeX159.xml"/><Relationship Id="rId16" Type="http://schemas.openxmlformats.org/officeDocument/2006/relationships/control" Target="activeX/activeX7.xml"/><Relationship Id="rId107" Type="http://schemas.openxmlformats.org/officeDocument/2006/relationships/control" Target="activeX/activeX96.xml"/><Relationship Id="rId11" Type="http://schemas.openxmlformats.org/officeDocument/2006/relationships/control" Target="activeX/activeX2.xml"/><Relationship Id="rId32" Type="http://schemas.openxmlformats.org/officeDocument/2006/relationships/control" Target="activeX/activeX23.xml"/><Relationship Id="rId37" Type="http://schemas.openxmlformats.org/officeDocument/2006/relationships/control" Target="activeX/activeX28.xml"/><Relationship Id="rId53" Type="http://schemas.openxmlformats.org/officeDocument/2006/relationships/control" Target="activeX/activeX44.xml"/><Relationship Id="rId58" Type="http://schemas.openxmlformats.org/officeDocument/2006/relationships/control" Target="activeX/activeX49.xml"/><Relationship Id="rId74" Type="http://schemas.openxmlformats.org/officeDocument/2006/relationships/control" Target="activeX/activeX65.xml"/><Relationship Id="rId79" Type="http://schemas.openxmlformats.org/officeDocument/2006/relationships/control" Target="activeX/activeX70.xml"/><Relationship Id="rId102" Type="http://schemas.openxmlformats.org/officeDocument/2006/relationships/control" Target="activeX/activeX91.xml"/><Relationship Id="rId123" Type="http://schemas.openxmlformats.org/officeDocument/2006/relationships/control" Target="activeX/activeX112.xml"/><Relationship Id="rId128" Type="http://schemas.openxmlformats.org/officeDocument/2006/relationships/control" Target="activeX/activeX117.xml"/><Relationship Id="rId144" Type="http://schemas.openxmlformats.org/officeDocument/2006/relationships/control" Target="activeX/activeX133.xml"/><Relationship Id="rId149" Type="http://schemas.openxmlformats.org/officeDocument/2006/relationships/control" Target="activeX/activeX138.xml"/><Relationship Id="rId5" Type="http://schemas.openxmlformats.org/officeDocument/2006/relationships/webSettings" Target="webSettings.xml"/><Relationship Id="rId90" Type="http://schemas.openxmlformats.org/officeDocument/2006/relationships/control" Target="activeX/activeX79.xml"/><Relationship Id="rId95" Type="http://schemas.openxmlformats.org/officeDocument/2006/relationships/control" Target="activeX/activeX84.xml"/><Relationship Id="rId160" Type="http://schemas.openxmlformats.org/officeDocument/2006/relationships/control" Target="activeX/activeX149.xml"/><Relationship Id="rId165" Type="http://schemas.openxmlformats.org/officeDocument/2006/relationships/control" Target="activeX/activeX154.xml"/><Relationship Id="rId22" Type="http://schemas.openxmlformats.org/officeDocument/2006/relationships/control" Target="activeX/activeX13.xml"/><Relationship Id="rId27" Type="http://schemas.openxmlformats.org/officeDocument/2006/relationships/control" Target="activeX/activeX18.xml"/><Relationship Id="rId43" Type="http://schemas.openxmlformats.org/officeDocument/2006/relationships/control" Target="activeX/activeX34.xml"/><Relationship Id="rId48" Type="http://schemas.openxmlformats.org/officeDocument/2006/relationships/control" Target="activeX/activeX39.xml"/><Relationship Id="rId64" Type="http://schemas.openxmlformats.org/officeDocument/2006/relationships/control" Target="activeX/activeX55.xml"/><Relationship Id="rId69" Type="http://schemas.openxmlformats.org/officeDocument/2006/relationships/control" Target="activeX/activeX60.xml"/><Relationship Id="rId113" Type="http://schemas.openxmlformats.org/officeDocument/2006/relationships/control" Target="activeX/activeX102.xml"/><Relationship Id="rId118" Type="http://schemas.openxmlformats.org/officeDocument/2006/relationships/control" Target="activeX/activeX107.xml"/><Relationship Id="rId134" Type="http://schemas.openxmlformats.org/officeDocument/2006/relationships/control" Target="activeX/activeX123.xml"/><Relationship Id="rId139" Type="http://schemas.openxmlformats.org/officeDocument/2006/relationships/control" Target="activeX/activeX128.xml"/><Relationship Id="rId80" Type="http://schemas.openxmlformats.org/officeDocument/2006/relationships/control" Target="activeX/activeX71.xml"/><Relationship Id="rId85" Type="http://schemas.openxmlformats.org/officeDocument/2006/relationships/control" Target="activeX/activeX75.xml"/><Relationship Id="rId150" Type="http://schemas.openxmlformats.org/officeDocument/2006/relationships/control" Target="activeX/activeX139.xml"/><Relationship Id="rId155" Type="http://schemas.openxmlformats.org/officeDocument/2006/relationships/control" Target="activeX/activeX144.xml"/><Relationship Id="rId171" Type="http://schemas.openxmlformats.org/officeDocument/2006/relationships/fontTable" Target="fontTable.xml"/><Relationship Id="rId12" Type="http://schemas.openxmlformats.org/officeDocument/2006/relationships/control" Target="activeX/activeX3.xml"/><Relationship Id="rId17" Type="http://schemas.openxmlformats.org/officeDocument/2006/relationships/control" Target="activeX/activeX8.xml"/><Relationship Id="rId33" Type="http://schemas.openxmlformats.org/officeDocument/2006/relationships/control" Target="activeX/activeX24.xml"/><Relationship Id="rId38" Type="http://schemas.openxmlformats.org/officeDocument/2006/relationships/control" Target="activeX/activeX29.xml"/><Relationship Id="rId59" Type="http://schemas.openxmlformats.org/officeDocument/2006/relationships/control" Target="activeX/activeX50.xml"/><Relationship Id="rId103" Type="http://schemas.openxmlformats.org/officeDocument/2006/relationships/control" Target="activeX/activeX92.xml"/><Relationship Id="rId108" Type="http://schemas.openxmlformats.org/officeDocument/2006/relationships/control" Target="activeX/activeX97.xml"/><Relationship Id="rId124" Type="http://schemas.openxmlformats.org/officeDocument/2006/relationships/control" Target="activeX/activeX113.xml"/><Relationship Id="rId129" Type="http://schemas.openxmlformats.org/officeDocument/2006/relationships/control" Target="activeX/activeX118.xml"/><Relationship Id="rId54" Type="http://schemas.openxmlformats.org/officeDocument/2006/relationships/control" Target="activeX/activeX45.xml"/><Relationship Id="rId70" Type="http://schemas.openxmlformats.org/officeDocument/2006/relationships/control" Target="activeX/activeX61.xml"/><Relationship Id="rId75" Type="http://schemas.openxmlformats.org/officeDocument/2006/relationships/control" Target="activeX/activeX66.xml"/><Relationship Id="rId91" Type="http://schemas.openxmlformats.org/officeDocument/2006/relationships/control" Target="activeX/activeX80.xml"/><Relationship Id="rId96" Type="http://schemas.openxmlformats.org/officeDocument/2006/relationships/control" Target="activeX/activeX85.xml"/><Relationship Id="rId140" Type="http://schemas.openxmlformats.org/officeDocument/2006/relationships/control" Target="activeX/activeX129.xml"/><Relationship Id="rId145" Type="http://schemas.openxmlformats.org/officeDocument/2006/relationships/control" Target="activeX/activeX134.xml"/><Relationship Id="rId161" Type="http://schemas.openxmlformats.org/officeDocument/2006/relationships/control" Target="activeX/activeX150.xml"/><Relationship Id="rId166" Type="http://schemas.openxmlformats.org/officeDocument/2006/relationships/control" Target="activeX/activeX155.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control" Target="activeX/activeX6.xml"/><Relationship Id="rId23" Type="http://schemas.openxmlformats.org/officeDocument/2006/relationships/control" Target="activeX/activeX14.xml"/><Relationship Id="rId28" Type="http://schemas.openxmlformats.org/officeDocument/2006/relationships/control" Target="activeX/activeX19.xml"/><Relationship Id="rId36" Type="http://schemas.openxmlformats.org/officeDocument/2006/relationships/control" Target="activeX/activeX27.xml"/><Relationship Id="rId49" Type="http://schemas.openxmlformats.org/officeDocument/2006/relationships/control" Target="activeX/activeX40.xml"/><Relationship Id="rId57" Type="http://schemas.openxmlformats.org/officeDocument/2006/relationships/control" Target="activeX/activeX48.xml"/><Relationship Id="rId106" Type="http://schemas.openxmlformats.org/officeDocument/2006/relationships/control" Target="activeX/activeX95.xml"/><Relationship Id="rId114" Type="http://schemas.openxmlformats.org/officeDocument/2006/relationships/control" Target="activeX/activeX103.xml"/><Relationship Id="rId119" Type="http://schemas.openxmlformats.org/officeDocument/2006/relationships/control" Target="activeX/activeX108.xml"/><Relationship Id="rId127" Type="http://schemas.openxmlformats.org/officeDocument/2006/relationships/control" Target="activeX/activeX116.xml"/><Relationship Id="rId10" Type="http://schemas.openxmlformats.org/officeDocument/2006/relationships/image" Target="media/image2.wmf"/><Relationship Id="rId31" Type="http://schemas.openxmlformats.org/officeDocument/2006/relationships/control" Target="activeX/activeX22.xml"/><Relationship Id="rId44" Type="http://schemas.openxmlformats.org/officeDocument/2006/relationships/control" Target="activeX/activeX35.xml"/><Relationship Id="rId52" Type="http://schemas.openxmlformats.org/officeDocument/2006/relationships/control" Target="activeX/activeX43.xml"/><Relationship Id="rId60" Type="http://schemas.openxmlformats.org/officeDocument/2006/relationships/control" Target="activeX/activeX51.xml"/><Relationship Id="rId65" Type="http://schemas.openxmlformats.org/officeDocument/2006/relationships/control" Target="activeX/activeX56.xml"/><Relationship Id="rId73" Type="http://schemas.openxmlformats.org/officeDocument/2006/relationships/control" Target="activeX/activeX64.xml"/><Relationship Id="rId78" Type="http://schemas.openxmlformats.org/officeDocument/2006/relationships/control" Target="activeX/activeX69.xml"/><Relationship Id="rId81" Type="http://schemas.openxmlformats.org/officeDocument/2006/relationships/control" Target="activeX/activeX72.xml"/><Relationship Id="rId86" Type="http://schemas.openxmlformats.org/officeDocument/2006/relationships/image" Target="media/image4.wmf"/><Relationship Id="rId94" Type="http://schemas.openxmlformats.org/officeDocument/2006/relationships/control" Target="activeX/activeX83.xml"/><Relationship Id="rId99" Type="http://schemas.openxmlformats.org/officeDocument/2006/relationships/control" Target="activeX/activeX88.xml"/><Relationship Id="rId101" Type="http://schemas.openxmlformats.org/officeDocument/2006/relationships/control" Target="activeX/activeX90.xml"/><Relationship Id="rId122" Type="http://schemas.openxmlformats.org/officeDocument/2006/relationships/control" Target="activeX/activeX111.xml"/><Relationship Id="rId130" Type="http://schemas.openxmlformats.org/officeDocument/2006/relationships/control" Target="activeX/activeX119.xml"/><Relationship Id="rId135" Type="http://schemas.openxmlformats.org/officeDocument/2006/relationships/control" Target="activeX/activeX124.xml"/><Relationship Id="rId143" Type="http://schemas.openxmlformats.org/officeDocument/2006/relationships/control" Target="activeX/activeX132.xml"/><Relationship Id="rId148" Type="http://schemas.openxmlformats.org/officeDocument/2006/relationships/control" Target="activeX/activeX137.xml"/><Relationship Id="rId151" Type="http://schemas.openxmlformats.org/officeDocument/2006/relationships/control" Target="activeX/activeX140.xml"/><Relationship Id="rId156" Type="http://schemas.openxmlformats.org/officeDocument/2006/relationships/control" Target="activeX/activeX145.xml"/><Relationship Id="rId164" Type="http://schemas.openxmlformats.org/officeDocument/2006/relationships/control" Target="activeX/activeX153.xml"/><Relationship Id="rId169" Type="http://schemas.openxmlformats.org/officeDocument/2006/relationships/control" Target="activeX/activeX158.xml"/><Relationship Id="rId4" Type="http://schemas.openxmlformats.org/officeDocument/2006/relationships/settings" Target="settings.xml"/><Relationship Id="rId9" Type="http://schemas.openxmlformats.org/officeDocument/2006/relationships/control" Target="activeX/activeX1.xml"/><Relationship Id="rId172" Type="http://schemas.openxmlformats.org/officeDocument/2006/relationships/theme" Target="theme/theme1.xml"/><Relationship Id="rId13" Type="http://schemas.openxmlformats.org/officeDocument/2006/relationships/control" Target="activeX/activeX4.xml"/><Relationship Id="rId18" Type="http://schemas.openxmlformats.org/officeDocument/2006/relationships/control" Target="activeX/activeX9.xml"/><Relationship Id="rId39" Type="http://schemas.openxmlformats.org/officeDocument/2006/relationships/control" Target="activeX/activeX30.xml"/><Relationship Id="rId109" Type="http://schemas.openxmlformats.org/officeDocument/2006/relationships/control" Target="activeX/activeX98.xml"/><Relationship Id="rId34" Type="http://schemas.openxmlformats.org/officeDocument/2006/relationships/control" Target="activeX/activeX25.xml"/><Relationship Id="rId50" Type="http://schemas.openxmlformats.org/officeDocument/2006/relationships/control" Target="activeX/activeX41.xml"/><Relationship Id="rId55" Type="http://schemas.openxmlformats.org/officeDocument/2006/relationships/control" Target="activeX/activeX46.xml"/><Relationship Id="rId76" Type="http://schemas.openxmlformats.org/officeDocument/2006/relationships/control" Target="activeX/activeX67.xml"/><Relationship Id="rId97" Type="http://schemas.openxmlformats.org/officeDocument/2006/relationships/control" Target="activeX/activeX86.xml"/><Relationship Id="rId104" Type="http://schemas.openxmlformats.org/officeDocument/2006/relationships/control" Target="activeX/activeX93.xml"/><Relationship Id="rId120" Type="http://schemas.openxmlformats.org/officeDocument/2006/relationships/control" Target="activeX/activeX109.xml"/><Relationship Id="rId125" Type="http://schemas.openxmlformats.org/officeDocument/2006/relationships/control" Target="activeX/activeX114.xml"/><Relationship Id="rId141" Type="http://schemas.openxmlformats.org/officeDocument/2006/relationships/control" Target="activeX/activeX130.xml"/><Relationship Id="rId146" Type="http://schemas.openxmlformats.org/officeDocument/2006/relationships/control" Target="activeX/activeX135.xml"/><Relationship Id="rId167" Type="http://schemas.openxmlformats.org/officeDocument/2006/relationships/control" Target="activeX/activeX156.xml"/><Relationship Id="rId7" Type="http://schemas.openxmlformats.org/officeDocument/2006/relationships/endnotes" Target="endnotes.xml"/><Relationship Id="rId71" Type="http://schemas.openxmlformats.org/officeDocument/2006/relationships/control" Target="activeX/activeX62.xml"/><Relationship Id="rId92" Type="http://schemas.openxmlformats.org/officeDocument/2006/relationships/control" Target="activeX/activeX81.xml"/><Relationship Id="rId162" Type="http://schemas.openxmlformats.org/officeDocument/2006/relationships/control" Target="activeX/activeX151.xml"/><Relationship Id="rId2" Type="http://schemas.openxmlformats.org/officeDocument/2006/relationships/numbering" Target="numbering.xml"/><Relationship Id="rId29" Type="http://schemas.openxmlformats.org/officeDocument/2006/relationships/control" Target="activeX/activeX20.xml"/><Relationship Id="rId24" Type="http://schemas.openxmlformats.org/officeDocument/2006/relationships/control" Target="activeX/activeX15.xml"/><Relationship Id="rId40" Type="http://schemas.openxmlformats.org/officeDocument/2006/relationships/control" Target="activeX/activeX31.xml"/><Relationship Id="rId45" Type="http://schemas.openxmlformats.org/officeDocument/2006/relationships/control" Target="activeX/activeX36.xml"/><Relationship Id="rId66" Type="http://schemas.openxmlformats.org/officeDocument/2006/relationships/control" Target="activeX/activeX57.xml"/><Relationship Id="rId87" Type="http://schemas.openxmlformats.org/officeDocument/2006/relationships/control" Target="activeX/activeX76.xml"/><Relationship Id="rId110" Type="http://schemas.openxmlformats.org/officeDocument/2006/relationships/control" Target="activeX/activeX99.xml"/><Relationship Id="rId115" Type="http://schemas.openxmlformats.org/officeDocument/2006/relationships/control" Target="activeX/activeX104.xml"/><Relationship Id="rId131" Type="http://schemas.openxmlformats.org/officeDocument/2006/relationships/control" Target="activeX/activeX120.xml"/><Relationship Id="rId136" Type="http://schemas.openxmlformats.org/officeDocument/2006/relationships/control" Target="activeX/activeX125.xml"/><Relationship Id="rId157" Type="http://schemas.openxmlformats.org/officeDocument/2006/relationships/control" Target="activeX/activeX146.xml"/><Relationship Id="rId61" Type="http://schemas.openxmlformats.org/officeDocument/2006/relationships/control" Target="activeX/activeX52.xml"/><Relationship Id="rId82" Type="http://schemas.openxmlformats.org/officeDocument/2006/relationships/control" Target="activeX/activeX73.xml"/><Relationship Id="rId152" Type="http://schemas.openxmlformats.org/officeDocument/2006/relationships/control" Target="activeX/activeX141.xml"/><Relationship Id="rId19" Type="http://schemas.openxmlformats.org/officeDocument/2006/relationships/control" Target="activeX/activeX10.xml"/><Relationship Id="rId14" Type="http://schemas.openxmlformats.org/officeDocument/2006/relationships/control" Target="activeX/activeX5.xml"/><Relationship Id="rId30" Type="http://schemas.openxmlformats.org/officeDocument/2006/relationships/control" Target="activeX/activeX21.xml"/><Relationship Id="rId35" Type="http://schemas.openxmlformats.org/officeDocument/2006/relationships/control" Target="activeX/activeX26.xml"/><Relationship Id="rId56" Type="http://schemas.openxmlformats.org/officeDocument/2006/relationships/control" Target="activeX/activeX47.xml"/><Relationship Id="rId77" Type="http://schemas.openxmlformats.org/officeDocument/2006/relationships/control" Target="activeX/activeX68.xml"/><Relationship Id="rId100" Type="http://schemas.openxmlformats.org/officeDocument/2006/relationships/control" Target="activeX/activeX89.xml"/><Relationship Id="rId105" Type="http://schemas.openxmlformats.org/officeDocument/2006/relationships/control" Target="activeX/activeX94.xml"/><Relationship Id="rId126" Type="http://schemas.openxmlformats.org/officeDocument/2006/relationships/control" Target="activeX/activeX115.xml"/><Relationship Id="rId147" Type="http://schemas.openxmlformats.org/officeDocument/2006/relationships/control" Target="activeX/activeX136.xml"/><Relationship Id="rId168" Type="http://schemas.openxmlformats.org/officeDocument/2006/relationships/control" Target="activeX/activeX157.xml"/><Relationship Id="rId8" Type="http://schemas.openxmlformats.org/officeDocument/2006/relationships/image" Target="media/image1.wmf"/><Relationship Id="rId51" Type="http://schemas.openxmlformats.org/officeDocument/2006/relationships/control" Target="activeX/activeX42.xml"/><Relationship Id="rId72" Type="http://schemas.openxmlformats.org/officeDocument/2006/relationships/control" Target="activeX/activeX63.xml"/><Relationship Id="rId93" Type="http://schemas.openxmlformats.org/officeDocument/2006/relationships/control" Target="activeX/activeX82.xml"/><Relationship Id="rId98" Type="http://schemas.openxmlformats.org/officeDocument/2006/relationships/control" Target="activeX/activeX87.xml"/><Relationship Id="rId121" Type="http://schemas.openxmlformats.org/officeDocument/2006/relationships/control" Target="activeX/activeX110.xml"/><Relationship Id="rId142" Type="http://schemas.openxmlformats.org/officeDocument/2006/relationships/control" Target="activeX/activeX131.xml"/><Relationship Id="rId163" Type="http://schemas.openxmlformats.org/officeDocument/2006/relationships/control" Target="activeX/activeX152.xml"/><Relationship Id="rId3" Type="http://schemas.openxmlformats.org/officeDocument/2006/relationships/styles" Target="styles.xml"/><Relationship Id="rId25" Type="http://schemas.openxmlformats.org/officeDocument/2006/relationships/control" Target="activeX/activeX16.xml"/><Relationship Id="rId46" Type="http://schemas.openxmlformats.org/officeDocument/2006/relationships/control" Target="activeX/activeX37.xml"/><Relationship Id="rId67" Type="http://schemas.openxmlformats.org/officeDocument/2006/relationships/control" Target="activeX/activeX58.xml"/><Relationship Id="rId116" Type="http://schemas.openxmlformats.org/officeDocument/2006/relationships/control" Target="activeX/activeX105.xml"/><Relationship Id="rId137" Type="http://schemas.openxmlformats.org/officeDocument/2006/relationships/control" Target="activeX/activeX126.xml"/><Relationship Id="rId158" Type="http://schemas.openxmlformats.org/officeDocument/2006/relationships/control" Target="activeX/activeX147.xml"/><Relationship Id="rId20" Type="http://schemas.openxmlformats.org/officeDocument/2006/relationships/control" Target="activeX/activeX11.xml"/><Relationship Id="rId41" Type="http://schemas.openxmlformats.org/officeDocument/2006/relationships/control" Target="activeX/activeX32.xml"/><Relationship Id="rId62" Type="http://schemas.openxmlformats.org/officeDocument/2006/relationships/control" Target="activeX/activeX53.xml"/><Relationship Id="rId83" Type="http://schemas.openxmlformats.org/officeDocument/2006/relationships/image" Target="media/image3.wmf"/><Relationship Id="rId88" Type="http://schemas.openxmlformats.org/officeDocument/2006/relationships/control" Target="activeX/activeX77.xml"/><Relationship Id="rId111" Type="http://schemas.openxmlformats.org/officeDocument/2006/relationships/control" Target="activeX/activeX100.xml"/><Relationship Id="rId132" Type="http://schemas.openxmlformats.org/officeDocument/2006/relationships/control" Target="activeX/activeX121.xml"/><Relationship Id="rId153" Type="http://schemas.openxmlformats.org/officeDocument/2006/relationships/control" Target="activeX/activeX142.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00.xml.rels><?xml version="1.0" encoding="UTF-8" standalone="yes"?>
<Relationships xmlns="http://schemas.openxmlformats.org/package/2006/relationships"><Relationship Id="rId1" Type="http://schemas.microsoft.com/office/2006/relationships/activeXControlBinary" Target="activeX100.bin"/></Relationships>
</file>

<file path=word/activeX/_rels/activeX101.xml.rels><?xml version="1.0" encoding="UTF-8" standalone="yes"?>
<Relationships xmlns="http://schemas.openxmlformats.org/package/2006/relationships"><Relationship Id="rId1" Type="http://schemas.microsoft.com/office/2006/relationships/activeXControlBinary" Target="activeX101.bin"/></Relationships>
</file>

<file path=word/activeX/_rels/activeX102.xml.rels><?xml version="1.0" encoding="UTF-8" standalone="yes"?>
<Relationships xmlns="http://schemas.openxmlformats.org/package/2006/relationships"><Relationship Id="rId1" Type="http://schemas.microsoft.com/office/2006/relationships/activeXControlBinary" Target="activeX102.bin"/></Relationships>
</file>

<file path=word/activeX/_rels/activeX103.xml.rels><?xml version="1.0" encoding="UTF-8" standalone="yes"?>
<Relationships xmlns="http://schemas.openxmlformats.org/package/2006/relationships"><Relationship Id="rId1" Type="http://schemas.microsoft.com/office/2006/relationships/activeXControlBinary" Target="activeX103.bin"/></Relationships>
</file>

<file path=word/activeX/_rels/activeX104.xml.rels><?xml version="1.0" encoding="UTF-8" standalone="yes"?>
<Relationships xmlns="http://schemas.openxmlformats.org/package/2006/relationships"><Relationship Id="rId1" Type="http://schemas.microsoft.com/office/2006/relationships/activeXControlBinary" Target="activeX104.bin"/></Relationships>
</file>

<file path=word/activeX/_rels/activeX105.xml.rels><?xml version="1.0" encoding="UTF-8" standalone="yes"?>
<Relationships xmlns="http://schemas.openxmlformats.org/package/2006/relationships"><Relationship Id="rId1" Type="http://schemas.microsoft.com/office/2006/relationships/activeXControlBinary" Target="activeX105.bin"/></Relationships>
</file>

<file path=word/activeX/_rels/activeX106.xml.rels><?xml version="1.0" encoding="UTF-8" standalone="yes"?>
<Relationships xmlns="http://schemas.openxmlformats.org/package/2006/relationships"><Relationship Id="rId1" Type="http://schemas.microsoft.com/office/2006/relationships/activeXControlBinary" Target="activeX106.bin"/></Relationships>
</file>

<file path=word/activeX/_rels/activeX107.xml.rels><?xml version="1.0" encoding="UTF-8" standalone="yes"?>
<Relationships xmlns="http://schemas.openxmlformats.org/package/2006/relationships"><Relationship Id="rId1" Type="http://schemas.microsoft.com/office/2006/relationships/activeXControlBinary" Target="activeX107.bin"/></Relationships>
</file>

<file path=word/activeX/_rels/activeX108.xml.rels><?xml version="1.0" encoding="UTF-8" standalone="yes"?>
<Relationships xmlns="http://schemas.openxmlformats.org/package/2006/relationships"><Relationship Id="rId1" Type="http://schemas.microsoft.com/office/2006/relationships/activeXControlBinary" Target="activeX108.bin"/></Relationships>
</file>

<file path=word/activeX/_rels/activeX109.xml.rels><?xml version="1.0" encoding="UTF-8" standalone="yes"?>
<Relationships xmlns="http://schemas.openxmlformats.org/package/2006/relationships"><Relationship Id="rId1" Type="http://schemas.microsoft.com/office/2006/relationships/activeXControlBinary" Target="activeX109.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10.xml.rels><?xml version="1.0" encoding="UTF-8" standalone="yes"?>
<Relationships xmlns="http://schemas.openxmlformats.org/package/2006/relationships"><Relationship Id="rId1" Type="http://schemas.microsoft.com/office/2006/relationships/activeXControlBinary" Target="activeX110.bin"/></Relationships>
</file>

<file path=word/activeX/_rels/activeX111.xml.rels><?xml version="1.0" encoding="UTF-8" standalone="yes"?>
<Relationships xmlns="http://schemas.openxmlformats.org/package/2006/relationships"><Relationship Id="rId1" Type="http://schemas.microsoft.com/office/2006/relationships/activeXControlBinary" Target="activeX111.bin"/></Relationships>
</file>

<file path=word/activeX/_rels/activeX112.xml.rels><?xml version="1.0" encoding="UTF-8" standalone="yes"?>
<Relationships xmlns="http://schemas.openxmlformats.org/package/2006/relationships"><Relationship Id="rId1" Type="http://schemas.microsoft.com/office/2006/relationships/activeXControlBinary" Target="activeX112.bin"/></Relationships>
</file>

<file path=word/activeX/_rels/activeX113.xml.rels><?xml version="1.0" encoding="UTF-8" standalone="yes"?>
<Relationships xmlns="http://schemas.openxmlformats.org/package/2006/relationships"><Relationship Id="rId1" Type="http://schemas.microsoft.com/office/2006/relationships/activeXControlBinary" Target="activeX113.bin"/></Relationships>
</file>

<file path=word/activeX/_rels/activeX114.xml.rels><?xml version="1.0" encoding="UTF-8" standalone="yes"?>
<Relationships xmlns="http://schemas.openxmlformats.org/package/2006/relationships"><Relationship Id="rId1" Type="http://schemas.microsoft.com/office/2006/relationships/activeXControlBinary" Target="activeX114.bin"/></Relationships>
</file>

<file path=word/activeX/_rels/activeX115.xml.rels><?xml version="1.0" encoding="UTF-8" standalone="yes"?>
<Relationships xmlns="http://schemas.openxmlformats.org/package/2006/relationships"><Relationship Id="rId1" Type="http://schemas.microsoft.com/office/2006/relationships/activeXControlBinary" Target="activeX115.bin"/></Relationships>
</file>

<file path=word/activeX/_rels/activeX116.xml.rels><?xml version="1.0" encoding="UTF-8" standalone="yes"?>
<Relationships xmlns="http://schemas.openxmlformats.org/package/2006/relationships"><Relationship Id="rId1" Type="http://schemas.microsoft.com/office/2006/relationships/activeXControlBinary" Target="activeX116.bin"/></Relationships>
</file>

<file path=word/activeX/_rels/activeX117.xml.rels><?xml version="1.0" encoding="UTF-8" standalone="yes"?>
<Relationships xmlns="http://schemas.openxmlformats.org/package/2006/relationships"><Relationship Id="rId1" Type="http://schemas.microsoft.com/office/2006/relationships/activeXControlBinary" Target="activeX117.bin"/></Relationships>
</file>

<file path=word/activeX/_rels/activeX118.xml.rels><?xml version="1.0" encoding="UTF-8" standalone="yes"?>
<Relationships xmlns="http://schemas.openxmlformats.org/package/2006/relationships"><Relationship Id="rId1" Type="http://schemas.microsoft.com/office/2006/relationships/activeXControlBinary" Target="activeX118.bin"/></Relationships>
</file>

<file path=word/activeX/_rels/activeX119.xml.rels><?xml version="1.0" encoding="UTF-8" standalone="yes"?>
<Relationships xmlns="http://schemas.openxmlformats.org/package/2006/relationships"><Relationship Id="rId1" Type="http://schemas.microsoft.com/office/2006/relationships/activeXControlBinary" Target="activeX119.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20.xml.rels><?xml version="1.0" encoding="UTF-8" standalone="yes"?>
<Relationships xmlns="http://schemas.openxmlformats.org/package/2006/relationships"><Relationship Id="rId1" Type="http://schemas.microsoft.com/office/2006/relationships/activeXControlBinary" Target="activeX120.bin"/></Relationships>
</file>

<file path=word/activeX/_rels/activeX121.xml.rels><?xml version="1.0" encoding="UTF-8" standalone="yes"?>
<Relationships xmlns="http://schemas.openxmlformats.org/package/2006/relationships"><Relationship Id="rId1" Type="http://schemas.microsoft.com/office/2006/relationships/activeXControlBinary" Target="activeX121.bin"/></Relationships>
</file>

<file path=word/activeX/_rels/activeX122.xml.rels><?xml version="1.0" encoding="UTF-8" standalone="yes"?>
<Relationships xmlns="http://schemas.openxmlformats.org/package/2006/relationships"><Relationship Id="rId1" Type="http://schemas.microsoft.com/office/2006/relationships/activeXControlBinary" Target="activeX122.bin"/></Relationships>
</file>

<file path=word/activeX/_rels/activeX123.xml.rels><?xml version="1.0" encoding="UTF-8" standalone="yes"?>
<Relationships xmlns="http://schemas.openxmlformats.org/package/2006/relationships"><Relationship Id="rId1" Type="http://schemas.microsoft.com/office/2006/relationships/activeXControlBinary" Target="activeX123.bin"/></Relationships>
</file>

<file path=word/activeX/_rels/activeX124.xml.rels><?xml version="1.0" encoding="UTF-8" standalone="yes"?>
<Relationships xmlns="http://schemas.openxmlformats.org/package/2006/relationships"><Relationship Id="rId1" Type="http://schemas.microsoft.com/office/2006/relationships/activeXControlBinary" Target="activeX124.bin"/></Relationships>
</file>

<file path=word/activeX/_rels/activeX125.xml.rels><?xml version="1.0" encoding="UTF-8" standalone="yes"?>
<Relationships xmlns="http://schemas.openxmlformats.org/package/2006/relationships"><Relationship Id="rId1" Type="http://schemas.microsoft.com/office/2006/relationships/activeXControlBinary" Target="activeX125.bin"/></Relationships>
</file>

<file path=word/activeX/_rels/activeX126.xml.rels><?xml version="1.0" encoding="UTF-8" standalone="yes"?>
<Relationships xmlns="http://schemas.openxmlformats.org/package/2006/relationships"><Relationship Id="rId1" Type="http://schemas.microsoft.com/office/2006/relationships/activeXControlBinary" Target="activeX126.bin"/></Relationships>
</file>

<file path=word/activeX/_rels/activeX127.xml.rels><?xml version="1.0" encoding="UTF-8" standalone="yes"?>
<Relationships xmlns="http://schemas.openxmlformats.org/package/2006/relationships"><Relationship Id="rId1" Type="http://schemas.microsoft.com/office/2006/relationships/activeXControlBinary" Target="activeX127.bin"/></Relationships>
</file>

<file path=word/activeX/_rels/activeX128.xml.rels><?xml version="1.0" encoding="UTF-8" standalone="yes"?>
<Relationships xmlns="http://schemas.openxmlformats.org/package/2006/relationships"><Relationship Id="rId1" Type="http://schemas.microsoft.com/office/2006/relationships/activeXControlBinary" Target="activeX128.bin"/></Relationships>
</file>

<file path=word/activeX/_rels/activeX129.xml.rels><?xml version="1.0" encoding="UTF-8" standalone="yes"?>
<Relationships xmlns="http://schemas.openxmlformats.org/package/2006/relationships"><Relationship Id="rId1" Type="http://schemas.microsoft.com/office/2006/relationships/activeXControlBinary" Target="activeX129.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30.xml.rels><?xml version="1.0" encoding="UTF-8" standalone="yes"?>
<Relationships xmlns="http://schemas.openxmlformats.org/package/2006/relationships"><Relationship Id="rId1" Type="http://schemas.microsoft.com/office/2006/relationships/activeXControlBinary" Target="activeX130.bin"/></Relationships>
</file>

<file path=word/activeX/_rels/activeX131.xml.rels><?xml version="1.0" encoding="UTF-8" standalone="yes"?>
<Relationships xmlns="http://schemas.openxmlformats.org/package/2006/relationships"><Relationship Id="rId1" Type="http://schemas.microsoft.com/office/2006/relationships/activeXControlBinary" Target="activeX131.bin"/></Relationships>
</file>

<file path=word/activeX/_rels/activeX132.xml.rels><?xml version="1.0" encoding="UTF-8" standalone="yes"?>
<Relationships xmlns="http://schemas.openxmlformats.org/package/2006/relationships"><Relationship Id="rId1" Type="http://schemas.microsoft.com/office/2006/relationships/activeXControlBinary" Target="activeX132.bin"/></Relationships>
</file>

<file path=word/activeX/_rels/activeX133.xml.rels><?xml version="1.0" encoding="UTF-8" standalone="yes"?>
<Relationships xmlns="http://schemas.openxmlformats.org/package/2006/relationships"><Relationship Id="rId1" Type="http://schemas.microsoft.com/office/2006/relationships/activeXControlBinary" Target="activeX133.bin"/></Relationships>
</file>

<file path=word/activeX/_rels/activeX134.xml.rels><?xml version="1.0" encoding="UTF-8" standalone="yes"?>
<Relationships xmlns="http://schemas.openxmlformats.org/package/2006/relationships"><Relationship Id="rId1" Type="http://schemas.microsoft.com/office/2006/relationships/activeXControlBinary" Target="activeX134.bin"/></Relationships>
</file>

<file path=word/activeX/_rels/activeX135.xml.rels><?xml version="1.0" encoding="UTF-8" standalone="yes"?>
<Relationships xmlns="http://schemas.openxmlformats.org/package/2006/relationships"><Relationship Id="rId1" Type="http://schemas.microsoft.com/office/2006/relationships/activeXControlBinary" Target="activeX135.bin"/></Relationships>
</file>

<file path=word/activeX/_rels/activeX136.xml.rels><?xml version="1.0" encoding="UTF-8" standalone="yes"?>
<Relationships xmlns="http://schemas.openxmlformats.org/package/2006/relationships"><Relationship Id="rId1" Type="http://schemas.microsoft.com/office/2006/relationships/activeXControlBinary" Target="activeX136.bin"/></Relationships>
</file>

<file path=word/activeX/_rels/activeX137.xml.rels><?xml version="1.0" encoding="UTF-8" standalone="yes"?>
<Relationships xmlns="http://schemas.openxmlformats.org/package/2006/relationships"><Relationship Id="rId1" Type="http://schemas.microsoft.com/office/2006/relationships/activeXControlBinary" Target="activeX137.bin"/></Relationships>
</file>

<file path=word/activeX/_rels/activeX138.xml.rels><?xml version="1.0" encoding="UTF-8" standalone="yes"?>
<Relationships xmlns="http://schemas.openxmlformats.org/package/2006/relationships"><Relationship Id="rId1" Type="http://schemas.microsoft.com/office/2006/relationships/activeXControlBinary" Target="activeX138.bin"/></Relationships>
</file>

<file path=word/activeX/_rels/activeX139.xml.rels><?xml version="1.0" encoding="UTF-8" standalone="yes"?>
<Relationships xmlns="http://schemas.openxmlformats.org/package/2006/relationships"><Relationship Id="rId1" Type="http://schemas.microsoft.com/office/2006/relationships/activeXControlBinary" Target="activeX139.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40.xml.rels><?xml version="1.0" encoding="UTF-8" standalone="yes"?>
<Relationships xmlns="http://schemas.openxmlformats.org/package/2006/relationships"><Relationship Id="rId1" Type="http://schemas.microsoft.com/office/2006/relationships/activeXControlBinary" Target="activeX140.bin"/></Relationships>
</file>

<file path=word/activeX/_rels/activeX141.xml.rels><?xml version="1.0" encoding="UTF-8" standalone="yes"?>
<Relationships xmlns="http://schemas.openxmlformats.org/package/2006/relationships"><Relationship Id="rId1" Type="http://schemas.microsoft.com/office/2006/relationships/activeXControlBinary" Target="activeX141.bin"/></Relationships>
</file>

<file path=word/activeX/_rels/activeX142.xml.rels><?xml version="1.0" encoding="UTF-8" standalone="yes"?>
<Relationships xmlns="http://schemas.openxmlformats.org/package/2006/relationships"><Relationship Id="rId1" Type="http://schemas.microsoft.com/office/2006/relationships/activeXControlBinary" Target="activeX142.bin"/></Relationships>
</file>

<file path=word/activeX/_rels/activeX143.xml.rels><?xml version="1.0" encoding="UTF-8" standalone="yes"?>
<Relationships xmlns="http://schemas.openxmlformats.org/package/2006/relationships"><Relationship Id="rId1" Type="http://schemas.microsoft.com/office/2006/relationships/activeXControlBinary" Target="activeX143.bin"/></Relationships>
</file>

<file path=word/activeX/_rels/activeX144.xml.rels><?xml version="1.0" encoding="UTF-8" standalone="yes"?>
<Relationships xmlns="http://schemas.openxmlformats.org/package/2006/relationships"><Relationship Id="rId1" Type="http://schemas.microsoft.com/office/2006/relationships/activeXControlBinary" Target="activeX144.bin"/></Relationships>
</file>

<file path=word/activeX/_rels/activeX145.xml.rels><?xml version="1.0" encoding="UTF-8" standalone="yes"?>
<Relationships xmlns="http://schemas.openxmlformats.org/package/2006/relationships"><Relationship Id="rId1" Type="http://schemas.microsoft.com/office/2006/relationships/activeXControlBinary" Target="activeX145.bin"/></Relationships>
</file>

<file path=word/activeX/_rels/activeX146.xml.rels><?xml version="1.0" encoding="UTF-8" standalone="yes"?>
<Relationships xmlns="http://schemas.openxmlformats.org/package/2006/relationships"><Relationship Id="rId1" Type="http://schemas.microsoft.com/office/2006/relationships/activeXControlBinary" Target="activeX146.bin"/></Relationships>
</file>

<file path=word/activeX/_rels/activeX147.xml.rels><?xml version="1.0" encoding="UTF-8" standalone="yes"?>
<Relationships xmlns="http://schemas.openxmlformats.org/package/2006/relationships"><Relationship Id="rId1" Type="http://schemas.microsoft.com/office/2006/relationships/activeXControlBinary" Target="activeX147.bin"/></Relationships>
</file>

<file path=word/activeX/_rels/activeX148.xml.rels><?xml version="1.0" encoding="UTF-8" standalone="yes"?>
<Relationships xmlns="http://schemas.openxmlformats.org/package/2006/relationships"><Relationship Id="rId1" Type="http://schemas.microsoft.com/office/2006/relationships/activeXControlBinary" Target="activeX148.bin"/></Relationships>
</file>

<file path=word/activeX/_rels/activeX149.xml.rels><?xml version="1.0" encoding="UTF-8" standalone="yes"?>
<Relationships xmlns="http://schemas.openxmlformats.org/package/2006/relationships"><Relationship Id="rId1" Type="http://schemas.microsoft.com/office/2006/relationships/activeXControlBinary" Target="activeX149.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50.xml.rels><?xml version="1.0" encoding="UTF-8" standalone="yes"?>
<Relationships xmlns="http://schemas.openxmlformats.org/package/2006/relationships"><Relationship Id="rId1" Type="http://schemas.microsoft.com/office/2006/relationships/activeXControlBinary" Target="activeX150.bin"/></Relationships>
</file>

<file path=word/activeX/_rels/activeX151.xml.rels><?xml version="1.0" encoding="UTF-8" standalone="yes"?>
<Relationships xmlns="http://schemas.openxmlformats.org/package/2006/relationships"><Relationship Id="rId1" Type="http://schemas.microsoft.com/office/2006/relationships/activeXControlBinary" Target="activeX151.bin"/></Relationships>
</file>

<file path=word/activeX/_rels/activeX152.xml.rels><?xml version="1.0" encoding="UTF-8" standalone="yes"?>
<Relationships xmlns="http://schemas.openxmlformats.org/package/2006/relationships"><Relationship Id="rId1" Type="http://schemas.microsoft.com/office/2006/relationships/activeXControlBinary" Target="activeX152.bin"/></Relationships>
</file>

<file path=word/activeX/_rels/activeX153.xml.rels><?xml version="1.0" encoding="UTF-8" standalone="yes"?>
<Relationships xmlns="http://schemas.openxmlformats.org/package/2006/relationships"><Relationship Id="rId1" Type="http://schemas.microsoft.com/office/2006/relationships/activeXControlBinary" Target="activeX153.bin"/></Relationships>
</file>

<file path=word/activeX/_rels/activeX154.xml.rels><?xml version="1.0" encoding="UTF-8" standalone="yes"?>
<Relationships xmlns="http://schemas.openxmlformats.org/package/2006/relationships"><Relationship Id="rId1" Type="http://schemas.microsoft.com/office/2006/relationships/activeXControlBinary" Target="activeX154.bin"/></Relationships>
</file>

<file path=word/activeX/_rels/activeX155.xml.rels><?xml version="1.0" encoding="UTF-8" standalone="yes"?>
<Relationships xmlns="http://schemas.openxmlformats.org/package/2006/relationships"><Relationship Id="rId1" Type="http://schemas.microsoft.com/office/2006/relationships/activeXControlBinary" Target="activeX155.bin"/></Relationships>
</file>

<file path=word/activeX/_rels/activeX156.xml.rels><?xml version="1.0" encoding="UTF-8" standalone="yes"?>
<Relationships xmlns="http://schemas.openxmlformats.org/package/2006/relationships"><Relationship Id="rId1" Type="http://schemas.microsoft.com/office/2006/relationships/activeXControlBinary" Target="activeX156.bin"/></Relationships>
</file>

<file path=word/activeX/_rels/activeX157.xml.rels><?xml version="1.0" encoding="UTF-8" standalone="yes"?>
<Relationships xmlns="http://schemas.openxmlformats.org/package/2006/relationships"><Relationship Id="rId1" Type="http://schemas.microsoft.com/office/2006/relationships/activeXControlBinary" Target="activeX157.bin"/></Relationships>
</file>

<file path=word/activeX/_rels/activeX158.xml.rels><?xml version="1.0" encoding="UTF-8" standalone="yes"?>
<Relationships xmlns="http://schemas.openxmlformats.org/package/2006/relationships"><Relationship Id="rId1" Type="http://schemas.microsoft.com/office/2006/relationships/activeXControlBinary" Target="activeX158.bin"/></Relationships>
</file>

<file path=word/activeX/_rels/activeX159.xml.rels><?xml version="1.0" encoding="UTF-8" standalone="yes"?>
<Relationships xmlns="http://schemas.openxmlformats.org/package/2006/relationships"><Relationship Id="rId1" Type="http://schemas.microsoft.com/office/2006/relationships/activeXControlBinary" Target="activeX159.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8.bin"/></Relationships>
</file>

<file path=word/activeX/_rels/activeX89.xml.rels><?xml version="1.0" encoding="UTF-8" standalone="yes"?>
<Relationships xmlns="http://schemas.openxmlformats.org/package/2006/relationships"><Relationship Id="rId1" Type="http://schemas.microsoft.com/office/2006/relationships/activeXControlBinary" Target="activeX89.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_rels/activeX90.xml.rels><?xml version="1.0" encoding="UTF-8" standalone="yes"?>
<Relationships xmlns="http://schemas.openxmlformats.org/package/2006/relationships"><Relationship Id="rId1" Type="http://schemas.microsoft.com/office/2006/relationships/activeXControlBinary" Target="activeX90.bin"/></Relationships>
</file>

<file path=word/activeX/_rels/activeX91.xml.rels><?xml version="1.0" encoding="UTF-8" standalone="yes"?>
<Relationships xmlns="http://schemas.openxmlformats.org/package/2006/relationships"><Relationship Id="rId1" Type="http://schemas.microsoft.com/office/2006/relationships/activeXControlBinary" Target="activeX91.bin"/></Relationships>
</file>

<file path=word/activeX/_rels/activeX92.xml.rels><?xml version="1.0" encoding="UTF-8" standalone="yes"?>
<Relationships xmlns="http://schemas.openxmlformats.org/package/2006/relationships"><Relationship Id="rId1" Type="http://schemas.microsoft.com/office/2006/relationships/activeXControlBinary" Target="activeX92.bin"/></Relationships>
</file>

<file path=word/activeX/_rels/activeX93.xml.rels><?xml version="1.0" encoding="UTF-8" standalone="yes"?>
<Relationships xmlns="http://schemas.openxmlformats.org/package/2006/relationships"><Relationship Id="rId1" Type="http://schemas.microsoft.com/office/2006/relationships/activeXControlBinary" Target="activeX93.bin"/></Relationships>
</file>

<file path=word/activeX/_rels/activeX94.xml.rels><?xml version="1.0" encoding="UTF-8" standalone="yes"?>
<Relationships xmlns="http://schemas.openxmlformats.org/package/2006/relationships"><Relationship Id="rId1" Type="http://schemas.microsoft.com/office/2006/relationships/activeXControlBinary" Target="activeX94.bin"/></Relationships>
</file>

<file path=word/activeX/_rels/activeX95.xml.rels><?xml version="1.0" encoding="UTF-8" standalone="yes"?>
<Relationships xmlns="http://schemas.openxmlformats.org/package/2006/relationships"><Relationship Id="rId1" Type="http://schemas.microsoft.com/office/2006/relationships/activeXControlBinary" Target="activeX95.bin"/></Relationships>
</file>

<file path=word/activeX/_rels/activeX96.xml.rels><?xml version="1.0" encoding="UTF-8" standalone="yes"?>
<Relationships xmlns="http://schemas.openxmlformats.org/package/2006/relationships"><Relationship Id="rId1" Type="http://schemas.microsoft.com/office/2006/relationships/activeXControlBinary" Target="activeX96.bin"/></Relationships>
</file>

<file path=word/activeX/_rels/activeX97.xml.rels><?xml version="1.0" encoding="UTF-8" standalone="yes"?>
<Relationships xmlns="http://schemas.openxmlformats.org/package/2006/relationships"><Relationship Id="rId1" Type="http://schemas.microsoft.com/office/2006/relationships/activeXControlBinary" Target="activeX97.bin"/></Relationships>
</file>

<file path=word/activeX/_rels/activeX98.xml.rels><?xml version="1.0" encoding="UTF-8" standalone="yes"?>
<Relationships xmlns="http://schemas.openxmlformats.org/package/2006/relationships"><Relationship Id="rId1" Type="http://schemas.microsoft.com/office/2006/relationships/activeXControlBinary" Target="activeX98.bin"/></Relationships>
</file>

<file path=word/activeX/_rels/activeX99.xml.rels><?xml version="1.0" encoding="UTF-8" standalone="yes"?>
<Relationships xmlns="http://schemas.openxmlformats.org/package/2006/relationships"><Relationship Id="rId1" Type="http://schemas.microsoft.com/office/2006/relationships/activeXControlBinary" Target="activeX99.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00.xml><?xml version="1.0" encoding="utf-8"?>
<ax:ocx xmlns:ax="http://schemas.microsoft.com/office/2006/activeX" xmlns:r="http://schemas.openxmlformats.org/officeDocument/2006/relationships" ax:classid="{5512D116-5CC6-11CF-8D67-00AA00BDCE1D}" ax:persistence="persistStream" r:id="rId1"/>
</file>

<file path=word/activeX/activeX101.xml><?xml version="1.0" encoding="utf-8"?>
<ax:ocx xmlns:ax="http://schemas.microsoft.com/office/2006/activeX" xmlns:r="http://schemas.openxmlformats.org/officeDocument/2006/relationships" ax:classid="{5512D116-5CC6-11CF-8D67-00AA00BDCE1D}" ax:persistence="persistStream" r:id="rId1"/>
</file>

<file path=word/activeX/activeX102.xml><?xml version="1.0" encoding="utf-8"?>
<ax:ocx xmlns:ax="http://schemas.microsoft.com/office/2006/activeX" xmlns:r="http://schemas.openxmlformats.org/officeDocument/2006/relationships" ax:classid="{5512D116-5CC6-11CF-8D67-00AA00BDCE1D}" ax:persistence="persistStream" r:id="rId1"/>
</file>

<file path=word/activeX/activeX103.xml><?xml version="1.0" encoding="utf-8"?>
<ax:ocx xmlns:ax="http://schemas.microsoft.com/office/2006/activeX" xmlns:r="http://schemas.openxmlformats.org/officeDocument/2006/relationships" ax:classid="{5512D116-5CC6-11CF-8D67-00AA00BDCE1D}" ax:persistence="persistStream" r:id="rId1"/>
</file>

<file path=word/activeX/activeX104.xml><?xml version="1.0" encoding="utf-8"?>
<ax:ocx xmlns:ax="http://schemas.microsoft.com/office/2006/activeX" xmlns:r="http://schemas.openxmlformats.org/officeDocument/2006/relationships" ax:classid="{5512D118-5CC6-11CF-8D67-00AA00BDCE1D}" ax:persistence="persistStream" r:id="rId1"/>
</file>

<file path=word/activeX/activeX105.xml><?xml version="1.0" encoding="utf-8"?>
<ax:ocx xmlns:ax="http://schemas.microsoft.com/office/2006/activeX" xmlns:r="http://schemas.openxmlformats.org/officeDocument/2006/relationships" ax:classid="{5512D118-5CC6-11CF-8D67-00AA00BDCE1D}" ax:persistence="persistStream" r:id="rId1"/>
</file>

<file path=word/activeX/activeX106.xml><?xml version="1.0" encoding="utf-8"?>
<ax:ocx xmlns:ax="http://schemas.microsoft.com/office/2006/activeX" xmlns:r="http://schemas.openxmlformats.org/officeDocument/2006/relationships" ax:classid="{5512D118-5CC6-11CF-8D67-00AA00BDCE1D}" ax:persistence="persistStream" r:id="rId1"/>
</file>

<file path=word/activeX/activeX107.xml><?xml version="1.0" encoding="utf-8"?>
<ax:ocx xmlns:ax="http://schemas.microsoft.com/office/2006/activeX" xmlns:r="http://schemas.openxmlformats.org/officeDocument/2006/relationships" ax:classid="{5512D118-5CC6-11CF-8D67-00AA00BDCE1D}" ax:persistence="persistStream" r:id="rId1"/>
</file>

<file path=word/activeX/activeX108.xml><?xml version="1.0" encoding="utf-8"?>
<ax:ocx xmlns:ax="http://schemas.microsoft.com/office/2006/activeX" xmlns:r="http://schemas.openxmlformats.org/officeDocument/2006/relationships" ax:classid="{5512D118-5CC6-11CF-8D67-00AA00BDCE1D}" ax:persistence="persistStream" r:id="rId1"/>
</file>

<file path=word/activeX/activeX109.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10.xml><?xml version="1.0" encoding="utf-8"?>
<ax:ocx xmlns:ax="http://schemas.microsoft.com/office/2006/activeX" xmlns:r="http://schemas.openxmlformats.org/officeDocument/2006/relationships" ax:classid="{5512D118-5CC6-11CF-8D67-00AA00BDCE1D}" ax:persistence="persistStream" r:id="rId1"/>
</file>

<file path=word/activeX/activeX111.xml><?xml version="1.0" encoding="utf-8"?>
<ax:ocx xmlns:ax="http://schemas.microsoft.com/office/2006/activeX" xmlns:r="http://schemas.openxmlformats.org/officeDocument/2006/relationships" ax:classid="{5512D118-5CC6-11CF-8D67-00AA00BDCE1D}" ax:persistence="persistStream" r:id="rId1"/>
</file>

<file path=word/activeX/activeX112.xml><?xml version="1.0" encoding="utf-8"?>
<ax:ocx xmlns:ax="http://schemas.microsoft.com/office/2006/activeX" xmlns:r="http://schemas.openxmlformats.org/officeDocument/2006/relationships" ax:classid="{5512D118-5CC6-11CF-8D67-00AA00BDCE1D}" ax:persistence="persistStream" r:id="rId1"/>
</file>

<file path=word/activeX/activeX113.xml><?xml version="1.0" encoding="utf-8"?>
<ax:ocx xmlns:ax="http://schemas.microsoft.com/office/2006/activeX" xmlns:r="http://schemas.openxmlformats.org/officeDocument/2006/relationships" ax:classid="{5512D118-5CC6-11CF-8D67-00AA00BDCE1D}" ax:persistence="persistStream" r:id="rId1"/>
</file>

<file path=word/activeX/activeX114.xml><?xml version="1.0" encoding="utf-8"?>
<ax:ocx xmlns:ax="http://schemas.microsoft.com/office/2006/activeX" xmlns:r="http://schemas.openxmlformats.org/officeDocument/2006/relationships" ax:classid="{5512D118-5CC6-11CF-8D67-00AA00BDCE1D}" ax:persistence="persistStream" r:id="rId1"/>
</file>

<file path=word/activeX/activeX115.xml><?xml version="1.0" encoding="utf-8"?>
<ax:ocx xmlns:ax="http://schemas.microsoft.com/office/2006/activeX" xmlns:r="http://schemas.openxmlformats.org/officeDocument/2006/relationships" ax:classid="{5512D118-5CC6-11CF-8D67-00AA00BDCE1D}" ax:persistence="persistStream" r:id="rId1"/>
</file>

<file path=word/activeX/activeX116.xml><?xml version="1.0" encoding="utf-8"?>
<ax:ocx xmlns:ax="http://schemas.microsoft.com/office/2006/activeX" xmlns:r="http://schemas.openxmlformats.org/officeDocument/2006/relationships" ax:classid="{5512D118-5CC6-11CF-8D67-00AA00BDCE1D}" ax:persistence="persistStream" r:id="rId1"/>
</file>

<file path=word/activeX/activeX117.xml><?xml version="1.0" encoding="utf-8"?>
<ax:ocx xmlns:ax="http://schemas.microsoft.com/office/2006/activeX" xmlns:r="http://schemas.openxmlformats.org/officeDocument/2006/relationships" ax:classid="{5512D118-5CC6-11CF-8D67-00AA00BDCE1D}" ax:persistence="persistStream" r:id="rId1"/>
</file>

<file path=word/activeX/activeX118.xml><?xml version="1.0" encoding="utf-8"?>
<ax:ocx xmlns:ax="http://schemas.microsoft.com/office/2006/activeX" xmlns:r="http://schemas.openxmlformats.org/officeDocument/2006/relationships" ax:classid="{5512D118-5CC6-11CF-8D67-00AA00BDCE1D}" ax:persistence="persistStream" r:id="rId1"/>
</file>

<file path=word/activeX/activeX119.xml><?xml version="1.0" encoding="utf-8"?>
<ax:ocx xmlns:ax="http://schemas.microsoft.com/office/2006/activeX" xmlns:r="http://schemas.openxmlformats.org/officeDocument/2006/relationships" ax:classid="{5512D118-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20.xml><?xml version="1.0" encoding="utf-8"?>
<ax:ocx xmlns:ax="http://schemas.microsoft.com/office/2006/activeX" xmlns:r="http://schemas.openxmlformats.org/officeDocument/2006/relationships" ax:classid="{5512D118-5CC6-11CF-8D67-00AA00BDCE1D}" ax:persistence="persistStream" r:id="rId1"/>
</file>

<file path=word/activeX/activeX121.xml><?xml version="1.0" encoding="utf-8"?>
<ax:ocx xmlns:ax="http://schemas.microsoft.com/office/2006/activeX" xmlns:r="http://schemas.openxmlformats.org/officeDocument/2006/relationships" ax:classid="{5512D118-5CC6-11CF-8D67-00AA00BDCE1D}" ax:persistence="persistStream" r:id="rId1"/>
</file>

<file path=word/activeX/activeX122.xml><?xml version="1.0" encoding="utf-8"?>
<ax:ocx xmlns:ax="http://schemas.microsoft.com/office/2006/activeX" xmlns:r="http://schemas.openxmlformats.org/officeDocument/2006/relationships" ax:classid="{5512D118-5CC6-11CF-8D67-00AA00BDCE1D}" ax:persistence="persistStream" r:id="rId1"/>
</file>

<file path=word/activeX/activeX123.xml><?xml version="1.0" encoding="utf-8"?>
<ax:ocx xmlns:ax="http://schemas.microsoft.com/office/2006/activeX" xmlns:r="http://schemas.openxmlformats.org/officeDocument/2006/relationships" ax:classid="{5512D118-5CC6-11CF-8D67-00AA00BDCE1D}" ax:persistence="persistStream" r:id="rId1"/>
</file>

<file path=word/activeX/activeX124.xml><?xml version="1.0" encoding="utf-8"?>
<ax:ocx xmlns:ax="http://schemas.microsoft.com/office/2006/activeX" xmlns:r="http://schemas.openxmlformats.org/officeDocument/2006/relationships" ax:classid="{5512D118-5CC6-11CF-8D67-00AA00BDCE1D}" ax:persistence="persistStream" r:id="rId1"/>
</file>

<file path=word/activeX/activeX125.xml><?xml version="1.0" encoding="utf-8"?>
<ax:ocx xmlns:ax="http://schemas.microsoft.com/office/2006/activeX" xmlns:r="http://schemas.openxmlformats.org/officeDocument/2006/relationships" ax:classid="{5512D118-5CC6-11CF-8D67-00AA00BDCE1D}" ax:persistence="persistStream" r:id="rId1"/>
</file>

<file path=word/activeX/activeX126.xml><?xml version="1.0" encoding="utf-8"?>
<ax:ocx xmlns:ax="http://schemas.microsoft.com/office/2006/activeX" xmlns:r="http://schemas.openxmlformats.org/officeDocument/2006/relationships" ax:classid="{5512D118-5CC6-11CF-8D67-00AA00BDCE1D}" ax:persistence="persistStream" r:id="rId1"/>
</file>

<file path=word/activeX/activeX127.xml><?xml version="1.0" encoding="utf-8"?>
<ax:ocx xmlns:ax="http://schemas.microsoft.com/office/2006/activeX" xmlns:r="http://schemas.openxmlformats.org/officeDocument/2006/relationships" ax:classid="{5512D118-5CC6-11CF-8D67-00AA00BDCE1D}" ax:persistence="persistStream" r:id="rId1"/>
</file>

<file path=word/activeX/activeX128.xml><?xml version="1.0" encoding="utf-8"?>
<ax:ocx xmlns:ax="http://schemas.microsoft.com/office/2006/activeX" xmlns:r="http://schemas.openxmlformats.org/officeDocument/2006/relationships" ax:classid="{5512D118-5CC6-11CF-8D67-00AA00BDCE1D}" ax:persistence="persistStream" r:id="rId1"/>
</file>

<file path=word/activeX/activeX129.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8-5CC6-11CF-8D67-00AA00BDCE1D}" ax:persistence="persistStream" r:id="rId1"/>
</file>

<file path=word/activeX/activeX130.xml><?xml version="1.0" encoding="utf-8"?>
<ax:ocx xmlns:ax="http://schemas.microsoft.com/office/2006/activeX" xmlns:r="http://schemas.openxmlformats.org/officeDocument/2006/relationships" ax:classid="{5512D118-5CC6-11CF-8D67-00AA00BDCE1D}" ax:persistence="persistStream" r:id="rId1"/>
</file>

<file path=word/activeX/activeX131.xml><?xml version="1.0" encoding="utf-8"?>
<ax:ocx xmlns:ax="http://schemas.microsoft.com/office/2006/activeX" xmlns:r="http://schemas.openxmlformats.org/officeDocument/2006/relationships" ax:classid="{5512D118-5CC6-11CF-8D67-00AA00BDCE1D}" ax:persistence="persistStream" r:id="rId1"/>
</file>

<file path=word/activeX/activeX132.xml><?xml version="1.0" encoding="utf-8"?>
<ax:ocx xmlns:ax="http://schemas.microsoft.com/office/2006/activeX" xmlns:r="http://schemas.openxmlformats.org/officeDocument/2006/relationships" ax:classid="{5512D118-5CC6-11CF-8D67-00AA00BDCE1D}" ax:persistence="persistStream" r:id="rId1"/>
</file>

<file path=word/activeX/activeX133.xml><?xml version="1.0" encoding="utf-8"?>
<ax:ocx xmlns:ax="http://schemas.microsoft.com/office/2006/activeX" xmlns:r="http://schemas.openxmlformats.org/officeDocument/2006/relationships" ax:classid="{5512D118-5CC6-11CF-8D67-00AA00BDCE1D}" ax:persistence="persistStream" r:id="rId1"/>
</file>

<file path=word/activeX/activeX134.xml><?xml version="1.0" encoding="utf-8"?>
<ax:ocx xmlns:ax="http://schemas.microsoft.com/office/2006/activeX" xmlns:r="http://schemas.openxmlformats.org/officeDocument/2006/relationships" ax:classid="{5512D118-5CC6-11CF-8D67-00AA00BDCE1D}" ax:persistence="persistStream" r:id="rId1"/>
</file>

<file path=word/activeX/activeX135.xml><?xml version="1.0" encoding="utf-8"?>
<ax:ocx xmlns:ax="http://schemas.microsoft.com/office/2006/activeX" xmlns:r="http://schemas.openxmlformats.org/officeDocument/2006/relationships" ax:classid="{5512D118-5CC6-11CF-8D67-00AA00BDCE1D}" ax:persistence="persistStream" r:id="rId1"/>
</file>

<file path=word/activeX/activeX136.xml><?xml version="1.0" encoding="utf-8"?>
<ax:ocx xmlns:ax="http://schemas.microsoft.com/office/2006/activeX" xmlns:r="http://schemas.openxmlformats.org/officeDocument/2006/relationships" ax:classid="{5512D118-5CC6-11CF-8D67-00AA00BDCE1D}" ax:persistence="persistStream" r:id="rId1"/>
</file>

<file path=word/activeX/activeX137.xml><?xml version="1.0" encoding="utf-8"?>
<ax:ocx xmlns:ax="http://schemas.microsoft.com/office/2006/activeX" xmlns:r="http://schemas.openxmlformats.org/officeDocument/2006/relationships" ax:classid="{5512D118-5CC6-11CF-8D67-00AA00BDCE1D}" ax:persistence="persistStream" r:id="rId1"/>
</file>

<file path=word/activeX/activeX138.xml><?xml version="1.0" encoding="utf-8"?>
<ax:ocx xmlns:ax="http://schemas.microsoft.com/office/2006/activeX" xmlns:r="http://schemas.openxmlformats.org/officeDocument/2006/relationships" ax:classid="{5512D118-5CC6-11CF-8D67-00AA00BDCE1D}" ax:persistence="persistStream" r:id="rId1"/>
</file>

<file path=word/activeX/activeX139.xml><?xml version="1.0" encoding="utf-8"?>
<ax:ocx xmlns:ax="http://schemas.microsoft.com/office/2006/activeX" xmlns:r="http://schemas.openxmlformats.org/officeDocument/2006/relationships" ax:classid="{5512D118-5CC6-11CF-8D67-00AA00BDCE1D}" ax:persistence="persistStream" r:id="rId1"/>
</file>

<file path=word/activeX/activeX14.xml><?xml version="1.0" encoding="utf-8"?>
<ax:ocx xmlns:ax="http://schemas.microsoft.com/office/2006/activeX" xmlns:r="http://schemas.openxmlformats.org/officeDocument/2006/relationships" ax:classid="{5512D118-5CC6-11CF-8D67-00AA00BDCE1D}" ax:persistence="persistStream" r:id="rId1"/>
</file>

<file path=word/activeX/activeX140.xml><?xml version="1.0" encoding="utf-8"?>
<ax:ocx xmlns:ax="http://schemas.microsoft.com/office/2006/activeX" xmlns:r="http://schemas.openxmlformats.org/officeDocument/2006/relationships" ax:classid="{5512D118-5CC6-11CF-8D67-00AA00BDCE1D}" ax:persistence="persistStream" r:id="rId1"/>
</file>

<file path=word/activeX/activeX141.xml><?xml version="1.0" encoding="utf-8"?>
<ax:ocx xmlns:ax="http://schemas.microsoft.com/office/2006/activeX" xmlns:r="http://schemas.openxmlformats.org/officeDocument/2006/relationships" ax:classid="{5512D118-5CC6-11CF-8D67-00AA00BDCE1D}" ax:persistence="persistStream" r:id="rId1"/>
</file>

<file path=word/activeX/activeX142.xml><?xml version="1.0" encoding="utf-8"?>
<ax:ocx xmlns:ax="http://schemas.microsoft.com/office/2006/activeX" xmlns:r="http://schemas.openxmlformats.org/officeDocument/2006/relationships" ax:classid="{5512D118-5CC6-11CF-8D67-00AA00BDCE1D}" ax:persistence="persistStream" r:id="rId1"/>
</file>

<file path=word/activeX/activeX143.xml><?xml version="1.0" encoding="utf-8"?>
<ax:ocx xmlns:ax="http://schemas.microsoft.com/office/2006/activeX" xmlns:r="http://schemas.openxmlformats.org/officeDocument/2006/relationships" ax:classid="{5512D118-5CC6-11CF-8D67-00AA00BDCE1D}" ax:persistence="persistStream" r:id="rId1"/>
</file>

<file path=word/activeX/activeX144.xml><?xml version="1.0" encoding="utf-8"?>
<ax:ocx xmlns:ax="http://schemas.microsoft.com/office/2006/activeX" xmlns:r="http://schemas.openxmlformats.org/officeDocument/2006/relationships" ax:classid="{5512D118-5CC6-11CF-8D67-00AA00BDCE1D}" ax:persistence="persistStream" r:id="rId1"/>
</file>

<file path=word/activeX/activeX145.xml><?xml version="1.0" encoding="utf-8"?>
<ax:ocx xmlns:ax="http://schemas.microsoft.com/office/2006/activeX" xmlns:r="http://schemas.openxmlformats.org/officeDocument/2006/relationships" ax:classid="{5512D118-5CC6-11CF-8D67-00AA00BDCE1D}" ax:persistence="persistStream" r:id="rId1"/>
</file>

<file path=word/activeX/activeX146.xml><?xml version="1.0" encoding="utf-8"?>
<ax:ocx xmlns:ax="http://schemas.microsoft.com/office/2006/activeX" xmlns:r="http://schemas.openxmlformats.org/officeDocument/2006/relationships" ax:classid="{5512D118-5CC6-11CF-8D67-00AA00BDCE1D}" ax:persistence="persistStream" r:id="rId1"/>
</file>

<file path=word/activeX/activeX147.xml><?xml version="1.0" encoding="utf-8"?>
<ax:ocx xmlns:ax="http://schemas.microsoft.com/office/2006/activeX" xmlns:r="http://schemas.openxmlformats.org/officeDocument/2006/relationships" ax:classid="{5512D118-5CC6-11CF-8D67-00AA00BDCE1D}" ax:persistence="persistStream" r:id="rId1"/>
</file>

<file path=word/activeX/activeX148.xml><?xml version="1.0" encoding="utf-8"?>
<ax:ocx xmlns:ax="http://schemas.microsoft.com/office/2006/activeX" xmlns:r="http://schemas.openxmlformats.org/officeDocument/2006/relationships" ax:classid="{5512D118-5CC6-11CF-8D67-00AA00BDCE1D}" ax:persistence="persistStream" r:id="rId1"/>
</file>

<file path=word/activeX/activeX149.xml><?xml version="1.0" encoding="utf-8"?>
<ax:ocx xmlns:ax="http://schemas.microsoft.com/office/2006/activeX" xmlns:r="http://schemas.openxmlformats.org/officeDocument/2006/relationships" ax:classid="{5512D118-5CC6-11CF-8D67-00AA00BDCE1D}" ax:persistence="persistStream" r:id="rId1"/>
</file>

<file path=word/activeX/activeX15.xml><?xml version="1.0" encoding="utf-8"?>
<ax:ocx xmlns:ax="http://schemas.microsoft.com/office/2006/activeX" xmlns:r="http://schemas.openxmlformats.org/officeDocument/2006/relationships" ax:classid="{5512D118-5CC6-11CF-8D67-00AA00BDCE1D}" ax:persistence="persistStream" r:id="rId1"/>
</file>

<file path=word/activeX/activeX150.xml><?xml version="1.0" encoding="utf-8"?>
<ax:ocx xmlns:ax="http://schemas.microsoft.com/office/2006/activeX" xmlns:r="http://schemas.openxmlformats.org/officeDocument/2006/relationships" ax:classid="{5512D118-5CC6-11CF-8D67-00AA00BDCE1D}" ax:persistence="persistStream" r:id="rId1"/>
</file>

<file path=word/activeX/activeX151.xml><?xml version="1.0" encoding="utf-8"?>
<ax:ocx xmlns:ax="http://schemas.microsoft.com/office/2006/activeX" xmlns:r="http://schemas.openxmlformats.org/officeDocument/2006/relationships" ax:classid="{5512D118-5CC6-11CF-8D67-00AA00BDCE1D}" ax:persistence="persistStream" r:id="rId1"/>
</file>

<file path=word/activeX/activeX152.xml><?xml version="1.0" encoding="utf-8"?>
<ax:ocx xmlns:ax="http://schemas.microsoft.com/office/2006/activeX" xmlns:r="http://schemas.openxmlformats.org/officeDocument/2006/relationships" ax:classid="{5512D118-5CC6-11CF-8D67-00AA00BDCE1D}" ax:persistence="persistStream" r:id="rId1"/>
</file>

<file path=word/activeX/activeX153.xml><?xml version="1.0" encoding="utf-8"?>
<ax:ocx xmlns:ax="http://schemas.microsoft.com/office/2006/activeX" xmlns:r="http://schemas.openxmlformats.org/officeDocument/2006/relationships" ax:classid="{5512D118-5CC6-11CF-8D67-00AA00BDCE1D}" ax:persistence="persistStream" r:id="rId1"/>
</file>

<file path=word/activeX/activeX154.xml><?xml version="1.0" encoding="utf-8"?>
<ax:ocx xmlns:ax="http://schemas.microsoft.com/office/2006/activeX" xmlns:r="http://schemas.openxmlformats.org/officeDocument/2006/relationships" ax:classid="{5512D118-5CC6-11CF-8D67-00AA00BDCE1D}" ax:persistence="persistStream" r:id="rId1"/>
</file>

<file path=word/activeX/activeX155.xml><?xml version="1.0" encoding="utf-8"?>
<ax:ocx xmlns:ax="http://schemas.microsoft.com/office/2006/activeX" xmlns:r="http://schemas.openxmlformats.org/officeDocument/2006/relationships" ax:classid="{5512D118-5CC6-11CF-8D67-00AA00BDCE1D}" ax:persistence="persistStream" r:id="rId1"/>
</file>

<file path=word/activeX/activeX156.xml><?xml version="1.0" encoding="utf-8"?>
<ax:ocx xmlns:ax="http://schemas.microsoft.com/office/2006/activeX" xmlns:r="http://schemas.openxmlformats.org/officeDocument/2006/relationships" ax:classid="{5512D118-5CC6-11CF-8D67-00AA00BDCE1D}" ax:persistence="persistStream" r:id="rId1"/>
</file>

<file path=word/activeX/activeX157.xml><?xml version="1.0" encoding="utf-8"?>
<ax:ocx xmlns:ax="http://schemas.microsoft.com/office/2006/activeX" xmlns:r="http://schemas.openxmlformats.org/officeDocument/2006/relationships" ax:classid="{5512D118-5CC6-11CF-8D67-00AA00BDCE1D}" ax:persistence="persistStream" r:id="rId1"/>
</file>

<file path=word/activeX/activeX158.xml><?xml version="1.0" encoding="utf-8"?>
<ax:ocx xmlns:ax="http://schemas.microsoft.com/office/2006/activeX" xmlns:r="http://schemas.openxmlformats.org/officeDocument/2006/relationships" ax:classid="{5512D118-5CC6-11CF-8D67-00AA00BDCE1D}" ax:persistence="persistStream" r:id="rId1"/>
</file>

<file path=word/activeX/activeX159.xml><?xml version="1.0" encoding="utf-8"?>
<ax:ocx xmlns:ax="http://schemas.microsoft.com/office/2006/activeX" xmlns:r="http://schemas.openxmlformats.org/officeDocument/2006/relationships" ax:classid="{5512D118-5CC6-11CF-8D67-00AA00BDCE1D}" ax:persistence="persistStream" r:id="rId1"/>
</file>

<file path=word/activeX/activeX16.xml><?xml version="1.0" encoding="utf-8"?>
<ax:ocx xmlns:ax="http://schemas.microsoft.com/office/2006/activeX" xmlns:r="http://schemas.openxmlformats.org/officeDocument/2006/relationships" ax:classid="{5512D118-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8.xml><?xml version="1.0" encoding="utf-8"?>
<ax:ocx xmlns:ax="http://schemas.microsoft.com/office/2006/activeX" xmlns:r="http://schemas.openxmlformats.org/officeDocument/2006/relationships" ax:classid="{5512D118-5CC6-11CF-8D67-00AA00BDCE1D}" ax:persistence="persistStream" r:id="rId1"/>
</file>

<file path=word/activeX/activeX19.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20.xml><?xml version="1.0" encoding="utf-8"?>
<ax:ocx xmlns:ax="http://schemas.microsoft.com/office/2006/activeX" xmlns:r="http://schemas.openxmlformats.org/officeDocument/2006/relationships" ax:classid="{5512D118-5CC6-11CF-8D67-00AA00BDCE1D}" ax:persistence="persistStream" r:id="rId1"/>
</file>

<file path=word/activeX/activeX21.xml><?xml version="1.0" encoding="utf-8"?>
<ax:ocx xmlns:ax="http://schemas.microsoft.com/office/2006/activeX" xmlns:r="http://schemas.openxmlformats.org/officeDocument/2006/relationships" ax:classid="{5512D118-5CC6-11CF-8D67-00AA00BDCE1D}" ax:persistence="persistStream" r:id="rId1"/>
</file>

<file path=word/activeX/activeX22.xml><?xml version="1.0" encoding="utf-8"?>
<ax:ocx xmlns:ax="http://schemas.microsoft.com/office/2006/activeX" xmlns:r="http://schemas.openxmlformats.org/officeDocument/2006/relationships" ax:classid="{5512D118-5CC6-11CF-8D67-00AA00BDCE1D}" ax:persistence="persistStream" r:id="rId1"/>
</file>

<file path=word/activeX/activeX23.xml><?xml version="1.0" encoding="utf-8"?>
<ax:ocx xmlns:ax="http://schemas.microsoft.com/office/2006/activeX" xmlns:r="http://schemas.openxmlformats.org/officeDocument/2006/relationships" ax:classid="{5512D118-5CC6-11CF-8D67-00AA00BDCE1D}" ax:persistence="persistStream" r:id="rId1"/>
</file>

<file path=word/activeX/activeX24.xml><?xml version="1.0" encoding="utf-8"?>
<ax:ocx xmlns:ax="http://schemas.microsoft.com/office/2006/activeX" xmlns:r="http://schemas.openxmlformats.org/officeDocument/2006/relationships" ax:classid="{5512D118-5CC6-11CF-8D67-00AA00BDCE1D}" ax:persistence="persistStream" r:id="rId1"/>
</file>

<file path=word/activeX/activeX25.xml><?xml version="1.0" encoding="utf-8"?>
<ax:ocx xmlns:ax="http://schemas.microsoft.com/office/2006/activeX" xmlns:r="http://schemas.openxmlformats.org/officeDocument/2006/relationships" ax:classid="{5512D118-5CC6-11CF-8D67-00AA00BDCE1D}" ax:persistence="persistStream" r:id="rId1"/>
</file>

<file path=word/activeX/activeX26.xml><?xml version="1.0" encoding="utf-8"?>
<ax:ocx xmlns:ax="http://schemas.microsoft.com/office/2006/activeX" xmlns:r="http://schemas.openxmlformats.org/officeDocument/2006/relationships" ax:classid="{5512D118-5CC6-11CF-8D67-00AA00BDCE1D}" ax:persistence="persistStream" r:id="rId1"/>
</file>

<file path=word/activeX/activeX27.xml><?xml version="1.0" encoding="utf-8"?>
<ax:ocx xmlns:ax="http://schemas.microsoft.com/office/2006/activeX" xmlns:r="http://schemas.openxmlformats.org/officeDocument/2006/relationships" ax:classid="{5512D118-5CC6-11CF-8D67-00AA00BDCE1D}" ax:persistence="persistStream" r:id="rId1"/>
</file>

<file path=word/activeX/activeX28.xml><?xml version="1.0" encoding="utf-8"?>
<ax:ocx xmlns:ax="http://schemas.microsoft.com/office/2006/activeX" xmlns:r="http://schemas.openxmlformats.org/officeDocument/2006/relationships" ax:classid="{5512D118-5CC6-11CF-8D67-00AA00BDCE1D}" ax:persistence="persistStream" r:id="rId1"/>
</file>

<file path=word/activeX/activeX29.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30.xml><?xml version="1.0" encoding="utf-8"?>
<ax:ocx xmlns:ax="http://schemas.microsoft.com/office/2006/activeX" xmlns:r="http://schemas.openxmlformats.org/officeDocument/2006/relationships" ax:classid="{5512D118-5CC6-11CF-8D67-00AA00BDCE1D}" ax:persistence="persistStream" r:id="rId1"/>
</file>

<file path=word/activeX/activeX31.xml><?xml version="1.0" encoding="utf-8"?>
<ax:ocx xmlns:ax="http://schemas.microsoft.com/office/2006/activeX" xmlns:r="http://schemas.openxmlformats.org/officeDocument/2006/relationships" ax:classid="{5512D118-5CC6-11CF-8D67-00AA00BDCE1D}" ax:persistence="persistStream" r:id="rId1"/>
</file>

<file path=word/activeX/activeX32.xml><?xml version="1.0" encoding="utf-8"?>
<ax:ocx xmlns:ax="http://schemas.microsoft.com/office/2006/activeX" xmlns:r="http://schemas.openxmlformats.org/officeDocument/2006/relationships" ax:classid="{5512D118-5CC6-11CF-8D67-00AA00BDCE1D}" ax:persistence="persistStream" r:id="rId1"/>
</file>

<file path=word/activeX/activeX33.xml><?xml version="1.0" encoding="utf-8"?>
<ax:ocx xmlns:ax="http://schemas.microsoft.com/office/2006/activeX" xmlns:r="http://schemas.openxmlformats.org/officeDocument/2006/relationships" ax:classid="{5512D118-5CC6-11CF-8D67-00AA00BDCE1D}" ax:persistence="persistStream" r:id="rId1"/>
</file>

<file path=word/activeX/activeX34.xml><?xml version="1.0" encoding="utf-8"?>
<ax:ocx xmlns:ax="http://schemas.microsoft.com/office/2006/activeX" xmlns:r="http://schemas.openxmlformats.org/officeDocument/2006/relationships" ax:classid="{5512D118-5CC6-11CF-8D67-00AA00BDCE1D}" ax:persistence="persistStream" r:id="rId1"/>
</file>

<file path=word/activeX/activeX35.xml><?xml version="1.0" encoding="utf-8"?>
<ax:ocx xmlns:ax="http://schemas.microsoft.com/office/2006/activeX" xmlns:r="http://schemas.openxmlformats.org/officeDocument/2006/relationships" ax:classid="{5512D118-5CC6-11CF-8D67-00AA00BDCE1D}" ax:persistence="persistStream" r:id="rId1"/>
</file>

<file path=word/activeX/activeX36.xml><?xml version="1.0" encoding="utf-8"?>
<ax:ocx xmlns:ax="http://schemas.microsoft.com/office/2006/activeX" xmlns:r="http://schemas.openxmlformats.org/officeDocument/2006/relationships" ax:classid="{5512D118-5CC6-11CF-8D67-00AA00BDCE1D}" ax:persistence="persistStream" r:id="rId1"/>
</file>

<file path=word/activeX/activeX37.xml><?xml version="1.0" encoding="utf-8"?>
<ax:ocx xmlns:ax="http://schemas.microsoft.com/office/2006/activeX" xmlns:r="http://schemas.openxmlformats.org/officeDocument/2006/relationships" ax:classid="{5512D118-5CC6-11CF-8D67-00AA00BDCE1D}" ax:persistence="persistStream" r:id="rId1"/>
</file>

<file path=word/activeX/activeX38.xml><?xml version="1.0" encoding="utf-8"?>
<ax:ocx xmlns:ax="http://schemas.microsoft.com/office/2006/activeX" xmlns:r="http://schemas.openxmlformats.org/officeDocument/2006/relationships" ax:classid="{5512D118-5CC6-11CF-8D67-00AA00BDCE1D}" ax:persistence="persistStream" r:id="rId1"/>
</file>

<file path=word/activeX/activeX39.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40.xml><?xml version="1.0" encoding="utf-8"?>
<ax:ocx xmlns:ax="http://schemas.microsoft.com/office/2006/activeX" xmlns:r="http://schemas.openxmlformats.org/officeDocument/2006/relationships" ax:classid="{5512D118-5CC6-11CF-8D67-00AA00BDCE1D}" ax:persistence="persistStream" r:id="rId1"/>
</file>

<file path=word/activeX/activeX41.xml><?xml version="1.0" encoding="utf-8"?>
<ax:ocx xmlns:ax="http://schemas.microsoft.com/office/2006/activeX" xmlns:r="http://schemas.openxmlformats.org/officeDocument/2006/relationships" ax:classid="{5512D118-5CC6-11CF-8D67-00AA00BDCE1D}" ax:persistence="persistStream" r:id="rId1"/>
</file>

<file path=word/activeX/activeX42.xml><?xml version="1.0" encoding="utf-8"?>
<ax:ocx xmlns:ax="http://schemas.microsoft.com/office/2006/activeX" xmlns:r="http://schemas.openxmlformats.org/officeDocument/2006/relationships" ax:classid="{5512D118-5CC6-11CF-8D67-00AA00BDCE1D}" ax:persistence="persistStream" r:id="rId1"/>
</file>

<file path=word/activeX/activeX43.xml><?xml version="1.0" encoding="utf-8"?>
<ax:ocx xmlns:ax="http://schemas.microsoft.com/office/2006/activeX" xmlns:r="http://schemas.openxmlformats.org/officeDocument/2006/relationships" ax:classid="{5512D118-5CC6-11CF-8D67-00AA00BDCE1D}" ax:persistence="persistStream" r:id="rId1"/>
</file>

<file path=word/activeX/activeX44.xml><?xml version="1.0" encoding="utf-8"?>
<ax:ocx xmlns:ax="http://schemas.microsoft.com/office/2006/activeX" xmlns:r="http://schemas.openxmlformats.org/officeDocument/2006/relationships" ax:classid="{5512D118-5CC6-11CF-8D67-00AA00BDCE1D}" ax:persistence="persistStream" r:id="rId1"/>
</file>

<file path=word/activeX/activeX45.xml><?xml version="1.0" encoding="utf-8"?>
<ax:ocx xmlns:ax="http://schemas.microsoft.com/office/2006/activeX" xmlns:r="http://schemas.openxmlformats.org/officeDocument/2006/relationships" ax:classid="{5512D118-5CC6-11CF-8D67-00AA00BDCE1D}" ax:persistence="persistStream" r:id="rId1"/>
</file>

<file path=word/activeX/activeX46.xml><?xml version="1.0" encoding="utf-8"?>
<ax:ocx xmlns:ax="http://schemas.microsoft.com/office/2006/activeX" xmlns:r="http://schemas.openxmlformats.org/officeDocument/2006/relationships" ax:classid="{5512D118-5CC6-11CF-8D67-00AA00BDCE1D}" ax:persistence="persistStream" r:id="rId1"/>
</file>

<file path=word/activeX/activeX47.xml><?xml version="1.0" encoding="utf-8"?>
<ax:ocx xmlns:ax="http://schemas.microsoft.com/office/2006/activeX" xmlns:r="http://schemas.openxmlformats.org/officeDocument/2006/relationships" ax:classid="{5512D118-5CC6-11CF-8D67-00AA00BDCE1D}" ax:persistence="persistStream" r:id="rId1"/>
</file>

<file path=word/activeX/activeX48.xml><?xml version="1.0" encoding="utf-8"?>
<ax:ocx xmlns:ax="http://schemas.microsoft.com/office/2006/activeX" xmlns:r="http://schemas.openxmlformats.org/officeDocument/2006/relationships" ax:classid="{5512D118-5CC6-11CF-8D67-00AA00BDCE1D}" ax:persistence="persistStream" r:id="rId1"/>
</file>

<file path=word/activeX/activeX49.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50.xml><?xml version="1.0" encoding="utf-8"?>
<ax:ocx xmlns:ax="http://schemas.microsoft.com/office/2006/activeX" xmlns:r="http://schemas.openxmlformats.org/officeDocument/2006/relationships" ax:classid="{5512D118-5CC6-11CF-8D67-00AA00BDCE1D}" ax:persistence="persistStream" r:id="rId1"/>
</file>

<file path=word/activeX/activeX51.xml><?xml version="1.0" encoding="utf-8"?>
<ax:ocx xmlns:ax="http://schemas.microsoft.com/office/2006/activeX" xmlns:r="http://schemas.openxmlformats.org/officeDocument/2006/relationships" ax:classid="{5512D118-5CC6-11CF-8D67-00AA00BDCE1D}" ax:persistence="persistStream" r:id="rId1"/>
</file>

<file path=word/activeX/activeX52.xml><?xml version="1.0" encoding="utf-8"?>
<ax:ocx xmlns:ax="http://schemas.microsoft.com/office/2006/activeX" xmlns:r="http://schemas.openxmlformats.org/officeDocument/2006/relationships" ax:classid="{5512D118-5CC6-11CF-8D67-00AA00BDCE1D}" ax:persistence="persistStream" r:id="rId1"/>
</file>

<file path=word/activeX/activeX53.xml><?xml version="1.0" encoding="utf-8"?>
<ax:ocx xmlns:ax="http://schemas.microsoft.com/office/2006/activeX" xmlns:r="http://schemas.openxmlformats.org/officeDocument/2006/relationships" ax:classid="{5512D118-5CC6-11CF-8D67-00AA00BDCE1D}" ax:persistence="persistStream" r:id="rId1"/>
</file>

<file path=word/activeX/activeX54.xml><?xml version="1.0" encoding="utf-8"?>
<ax:ocx xmlns:ax="http://schemas.microsoft.com/office/2006/activeX" xmlns:r="http://schemas.openxmlformats.org/officeDocument/2006/relationships" ax:classid="{5512D118-5CC6-11CF-8D67-00AA00BDCE1D}" ax:persistence="persistStream" r:id="rId1"/>
</file>

<file path=word/activeX/activeX55.xml><?xml version="1.0" encoding="utf-8"?>
<ax:ocx xmlns:ax="http://schemas.microsoft.com/office/2006/activeX" xmlns:r="http://schemas.openxmlformats.org/officeDocument/2006/relationships" ax:classid="{5512D118-5CC6-11CF-8D67-00AA00BDCE1D}" ax:persistence="persistStream" r:id="rId1"/>
</file>

<file path=word/activeX/activeX56.xml><?xml version="1.0" encoding="utf-8"?>
<ax:ocx xmlns:ax="http://schemas.microsoft.com/office/2006/activeX" xmlns:r="http://schemas.openxmlformats.org/officeDocument/2006/relationships" ax:classid="{5512D118-5CC6-11CF-8D67-00AA00BDCE1D}" ax:persistence="persistStream" r:id="rId1"/>
</file>

<file path=word/activeX/activeX57.xml><?xml version="1.0" encoding="utf-8"?>
<ax:ocx xmlns:ax="http://schemas.microsoft.com/office/2006/activeX" xmlns:r="http://schemas.openxmlformats.org/officeDocument/2006/relationships" ax:classid="{5512D118-5CC6-11CF-8D67-00AA00BDCE1D}" ax:persistence="persistStream" r:id="rId1"/>
</file>

<file path=word/activeX/activeX58.xml><?xml version="1.0" encoding="utf-8"?>
<ax:ocx xmlns:ax="http://schemas.microsoft.com/office/2006/activeX" xmlns:r="http://schemas.openxmlformats.org/officeDocument/2006/relationships" ax:classid="{5512D118-5CC6-11CF-8D67-00AA00BDCE1D}" ax:persistence="persistStream" r:id="rId1"/>
</file>

<file path=word/activeX/activeX59.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60.xml><?xml version="1.0" encoding="utf-8"?>
<ax:ocx xmlns:ax="http://schemas.microsoft.com/office/2006/activeX" xmlns:r="http://schemas.openxmlformats.org/officeDocument/2006/relationships" ax:classid="{5512D118-5CC6-11CF-8D67-00AA00BDCE1D}" ax:persistence="persistStream" r:id="rId1"/>
</file>

<file path=word/activeX/activeX61.xml><?xml version="1.0" encoding="utf-8"?>
<ax:ocx xmlns:ax="http://schemas.microsoft.com/office/2006/activeX" xmlns:r="http://schemas.openxmlformats.org/officeDocument/2006/relationships" ax:classid="{5512D118-5CC6-11CF-8D67-00AA00BDCE1D}" ax:persistence="persistStream" r:id="rId1"/>
</file>

<file path=word/activeX/activeX62.xml><?xml version="1.0" encoding="utf-8"?>
<ax:ocx xmlns:ax="http://schemas.microsoft.com/office/2006/activeX" xmlns:r="http://schemas.openxmlformats.org/officeDocument/2006/relationships" ax:classid="{5512D118-5CC6-11CF-8D67-00AA00BDCE1D}" ax:persistence="persistStream" r:id="rId1"/>
</file>

<file path=word/activeX/activeX63.xml><?xml version="1.0" encoding="utf-8"?>
<ax:ocx xmlns:ax="http://schemas.microsoft.com/office/2006/activeX" xmlns:r="http://schemas.openxmlformats.org/officeDocument/2006/relationships" ax:classid="{5512D118-5CC6-11CF-8D67-00AA00BDCE1D}" ax:persistence="persistStream" r:id="rId1"/>
</file>

<file path=word/activeX/activeX64.xml><?xml version="1.0" encoding="utf-8"?>
<ax:ocx xmlns:ax="http://schemas.microsoft.com/office/2006/activeX" xmlns:r="http://schemas.openxmlformats.org/officeDocument/2006/relationships" ax:classid="{5512D118-5CC6-11CF-8D67-00AA00BDCE1D}" ax:persistence="persistStream" r:id="rId1"/>
</file>

<file path=word/activeX/activeX65.xml><?xml version="1.0" encoding="utf-8"?>
<ax:ocx xmlns:ax="http://schemas.microsoft.com/office/2006/activeX" xmlns:r="http://schemas.openxmlformats.org/officeDocument/2006/relationships" ax:classid="{5512D118-5CC6-11CF-8D67-00AA00BDCE1D}" ax:persistence="persistStream" r:id="rId1"/>
</file>

<file path=word/activeX/activeX66.xml><?xml version="1.0" encoding="utf-8"?>
<ax:ocx xmlns:ax="http://schemas.microsoft.com/office/2006/activeX" xmlns:r="http://schemas.openxmlformats.org/officeDocument/2006/relationships" ax:classid="{5512D118-5CC6-11CF-8D67-00AA00BDCE1D}" ax:persistence="persistStream" r:id="rId1"/>
</file>

<file path=word/activeX/activeX67.xml><?xml version="1.0" encoding="utf-8"?>
<ax:ocx xmlns:ax="http://schemas.microsoft.com/office/2006/activeX" xmlns:r="http://schemas.openxmlformats.org/officeDocument/2006/relationships" ax:classid="{5512D118-5CC6-11CF-8D67-00AA00BDCE1D}" ax:persistence="persistStream" r:id="rId1"/>
</file>

<file path=word/activeX/activeX68.xml><?xml version="1.0" encoding="utf-8"?>
<ax:ocx xmlns:ax="http://schemas.microsoft.com/office/2006/activeX" xmlns:r="http://schemas.openxmlformats.org/officeDocument/2006/relationships" ax:classid="{5512D118-5CC6-11CF-8D67-00AA00BDCE1D}" ax:persistence="persistStream" r:id="rId1"/>
</file>

<file path=word/activeX/activeX69.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70.xml><?xml version="1.0" encoding="utf-8"?>
<ax:ocx xmlns:ax="http://schemas.microsoft.com/office/2006/activeX" xmlns:r="http://schemas.openxmlformats.org/officeDocument/2006/relationships" ax:classid="{5512D118-5CC6-11CF-8D67-00AA00BDCE1D}" ax:persistence="persistStream" r:id="rId1"/>
</file>

<file path=word/activeX/activeX71.xml><?xml version="1.0" encoding="utf-8"?>
<ax:ocx xmlns:ax="http://schemas.microsoft.com/office/2006/activeX" xmlns:r="http://schemas.openxmlformats.org/officeDocument/2006/relationships" ax:classid="{5512D118-5CC6-11CF-8D67-00AA00BDCE1D}" ax:persistence="persistStream" r:id="rId1"/>
</file>

<file path=word/activeX/activeX72.xml><?xml version="1.0" encoding="utf-8"?>
<ax:ocx xmlns:ax="http://schemas.microsoft.com/office/2006/activeX" xmlns:r="http://schemas.openxmlformats.org/officeDocument/2006/relationships" ax:classid="{5512D118-5CC6-11CF-8D67-00AA00BDCE1D}" ax:persistence="persistStream" r:id="rId1"/>
</file>

<file path=word/activeX/activeX73.xml><?xml version="1.0" encoding="utf-8"?>
<ax:ocx xmlns:ax="http://schemas.microsoft.com/office/2006/activeX" xmlns:r="http://schemas.openxmlformats.org/officeDocument/2006/relationships" ax:classid="{5512D118-5CC6-11CF-8D67-00AA00BDCE1D}" ax:persistence="persistStream" r:id="rId1"/>
</file>

<file path=word/activeX/activeX74.xml><?xml version="1.0" encoding="utf-8"?>
<ax:ocx xmlns:ax="http://schemas.microsoft.com/office/2006/activeX" xmlns:r="http://schemas.openxmlformats.org/officeDocument/2006/relationships" ax:classid="{5512D116-5CC6-11CF-8D67-00AA00BDCE1D}" ax:persistence="persistStream" r:id="rId1"/>
</file>

<file path=word/activeX/activeX75.xml><?xml version="1.0" encoding="utf-8"?>
<ax:ocx xmlns:ax="http://schemas.microsoft.com/office/2006/activeX" xmlns:r="http://schemas.openxmlformats.org/officeDocument/2006/relationships" ax:classid="{5512D116-5CC6-11CF-8D67-00AA00BDCE1D}" ax:persistence="persistStream" r:id="rId1"/>
</file>

<file path=word/activeX/activeX76.xml><?xml version="1.0" encoding="utf-8"?>
<ax:ocx xmlns:ax="http://schemas.microsoft.com/office/2006/activeX" xmlns:r="http://schemas.openxmlformats.org/officeDocument/2006/relationships" ax:classid="{5512D116-5CC6-11CF-8D67-00AA00BDCE1D}" ax:persistence="persistStream" r:id="rId1"/>
</file>

<file path=word/activeX/activeX77.xml><?xml version="1.0" encoding="utf-8"?>
<ax:ocx xmlns:ax="http://schemas.microsoft.com/office/2006/activeX" xmlns:r="http://schemas.openxmlformats.org/officeDocument/2006/relationships" ax:classid="{5512D116-5CC6-11CF-8D67-00AA00BDCE1D}" ax:persistence="persistStream" r:id="rId1"/>
</file>

<file path=word/activeX/activeX78.xml><?xml version="1.0" encoding="utf-8"?>
<ax:ocx xmlns:ax="http://schemas.microsoft.com/office/2006/activeX" xmlns:r="http://schemas.openxmlformats.org/officeDocument/2006/relationships" ax:classid="{5512D116-5CC6-11CF-8D67-00AA00BDCE1D}" ax:persistence="persistStream" r:id="rId1"/>
</file>

<file path=word/activeX/activeX79.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80.xml><?xml version="1.0" encoding="utf-8"?>
<ax:ocx xmlns:ax="http://schemas.microsoft.com/office/2006/activeX" xmlns:r="http://schemas.openxmlformats.org/officeDocument/2006/relationships" ax:classid="{5512D116-5CC6-11CF-8D67-00AA00BDCE1D}" ax:persistence="persistStream" r:id="rId1"/>
</file>

<file path=word/activeX/activeX81.xml><?xml version="1.0" encoding="utf-8"?>
<ax:ocx xmlns:ax="http://schemas.microsoft.com/office/2006/activeX" xmlns:r="http://schemas.openxmlformats.org/officeDocument/2006/relationships" ax:classid="{5512D116-5CC6-11CF-8D67-00AA00BDCE1D}" ax:persistence="persistStream" r:id="rId1"/>
</file>

<file path=word/activeX/activeX82.xml><?xml version="1.0" encoding="utf-8"?>
<ax:ocx xmlns:ax="http://schemas.microsoft.com/office/2006/activeX" xmlns:r="http://schemas.openxmlformats.org/officeDocument/2006/relationships" ax:classid="{5512D116-5CC6-11CF-8D67-00AA00BDCE1D}" ax:persistence="persistStream" r:id="rId1"/>
</file>

<file path=word/activeX/activeX83.xml><?xml version="1.0" encoding="utf-8"?>
<ax:ocx xmlns:ax="http://schemas.microsoft.com/office/2006/activeX" xmlns:r="http://schemas.openxmlformats.org/officeDocument/2006/relationships" ax:classid="{5512D116-5CC6-11CF-8D67-00AA00BDCE1D}" ax:persistence="persistStream" r:id="rId1"/>
</file>

<file path=word/activeX/activeX84.xml><?xml version="1.0" encoding="utf-8"?>
<ax:ocx xmlns:ax="http://schemas.microsoft.com/office/2006/activeX" xmlns:r="http://schemas.openxmlformats.org/officeDocument/2006/relationships" ax:classid="{5512D116-5CC6-11CF-8D67-00AA00BDCE1D}" ax:persistence="persistStream" r:id="rId1"/>
</file>

<file path=word/activeX/activeX85.xml><?xml version="1.0" encoding="utf-8"?>
<ax:ocx xmlns:ax="http://schemas.microsoft.com/office/2006/activeX" xmlns:r="http://schemas.openxmlformats.org/officeDocument/2006/relationships" ax:classid="{5512D116-5CC6-11CF-8D67-00AA00BDCE1D}" ax:persistence="persistStream" r:id="rId1"/>
</file>

<file path=word/activeX/activeX86.xml><?xml version="1.0" encoding="utf-8"?>
<ax:ocx xmlns:ax="http://schemas.microsoft.com/office/2006/activeX" xmlns:r="http://schemas.openxmlformats.org/officeDocument/2006/relationships" ax:classid="{5512D116-5CC6-11CF-8D67-00AA00BDCE1D}" ax:persistence="persistStream" r:id="rId1"/>
</file>

<file path=word/activeX/activeX87.xml><?xml version="1.0" encoding="utf-8"?>
<ax:ocx xmlns:ax="http://schemas.microsoft.com/office/2006/activeX" xmlns:r="http://schemas.openxmlformats.org/officeDocument/2006/relationships" ax:classid="{5512D116-5CC6-11CF-8D67-00AA00BDCE1D}" ax:persistence="persistStream" r:id="rId1"/>
</file>

<file path=word/activeX/activeX88.xml><?xml version="1.0" encoding="utf-8"?>
<ax:ocx xmlns:ax="http://schemas.microsoft.com/office/2006/activeX" xmlns:r="http://schemas.openxmlformats.org/officeDocument/2006/relationships" ax:classid="{5512D116-5CC6-11CF-8D67-00AA00BDCE1D}" ax:persistence="persistStream" r:id="rId1"/>
</file>

<file path=word/activeX/activeX89.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activeX/activeX90.xml><?xml version="1.0" encoding="utf-8"?>
<ax:ocx xmlns:ax="http://schemas.microsoft.com/office/2006/activeX" xmlns:r="http://schemas.openxmlformats.org/officeDocument/2006/relationships" ax:classid="{5512D116-5CC6-11CF-8D67-00AA00BDCE1D}" ax:persistence="persistStream" r:id="rId1"/>
</file>

<file path=word/activeX/activeX91.xml><?xml version="1.0" encoding="utf-8"?>
<ax:ocx xmlns:ax="http://schemas.microsoft.com/office/2006/activeX" xmlns:r="http://schemas.openxmlformats.org/officeDocument/2006/relationships" ax:classid="{5512D116-5CC6-11CF-8D67-00AA00BDCE1D}" ax:persistence="persistStream" r:id="rId1"/>
</file>

<file path=word/activeX/activeX92.xml><?xml version="1.0" encoding="utf-8"?>
<ax:ocx xmlns:ax="http://schemas.microsoft.com/office/2006/activeX" xmlns:r="http://schemas.openxmlformats.org/officeDocument/2006/relationships" ax:classid="{5512D116-5CC6-11CF-8D67-00AA00BDCE1D}" ax:persistence="persistStream" r:id="rId1"/>
</file>

<file path=word/activeX/activeX93.xml><?xml version="1.0" encoding="utf-8"?>
<ax:ocx xmlns:ax="http://schemas.microsoft.com/office/2006/activeX" xmlns:r="http://schemas.openxmlformats.org/officeDocument/2006/relationships" ax:classid="{5512D116-5CC6-11CF-8D67-00AA00BDCE1D}" ax:persistence="persistStream" r:id="rId1"/>
</file>

<file path=word/activeX/activeX94.xml><?xml version="1.0" encoding="utf-8"?>
<ax:ocx xmlns:ax="http://schemas.microsoft.com/office/2006/activeX" xmlns:r="http://schemas.openxmlformats.org/officeDocument/2006/relationships" ax:classid="{5512D116-5CC6-11CF-8D67-00AA00BDCE1D}" ax:persistence="persistStream" r:id="rId1"/>
</file>

<file path=word/activeX/activeX95.xml><?xml version="1.0" encoding="utf-8"?>
<ax:ocx xmlns:ax="http://schemas.microsoft.com/office/2006/activeX" xmlns:r="http://schemas.openxmlformats.org/officeDocument/2006/relationships" ax:classid="{5512D116-5CC6-11CF-8D67-00AA00BDCE1D}" ax:persistence="persistStream" r:id="rId1"/>
</file>

<file path=word/activeX/activeX96.xml><?xml version="1.0" encoding="utf-8"?>
<ax:ocx xmlns:ax="http://schemas.microsoft.com/office/2006/activeX" xmlns:r="http://schemas.openxmlformats.org/officeDocument/2006/relationships" ax:classid="{5512D116-5CC6-11CF-8D67-00AA00BDCE1D}" ax:persistence="persistStream" r:id="rId1"/>
</file>

<file path=word/activeX/activeX97.xml><?xml version="1.0" encoding="utf-8"?>
<ax:ocx xmlns:ax="http://schemas.microsoft.com/office/2006/activeX" xmlns:r="http://schemas.openxmlformats.org/officeDocument/2006/relationships" ax:classid="{5512D116-5CC6-11CF-8D67-00AA00BDCE1D}" ax:persistence="persistStream" r:id="rId1"/>
</file>

<file path=word/activeX/activeX98.xml><?xml version="1.0" encoding="utf-8"?>
<ax:ocx xmlns:ax="http://schemas.microsoft.com/office/2006/activeX" xmlns:r="http://schemas.openxmlformats.org/officeDocument/2006/relationships" ax:classid="{5512D116-5CC6-11CF-8D67-00AA00BDCE1D}" ax:persistence="persistStream" r:id="rId1"/>
</file>

<file path=word/activeX/activeX99.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695B64-1BB3-4F11-AB28-9F36C907A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95A61231.dotm</Template>
  <TotalTime>0</TotalTime>
  <Pages>15</Pages>
  <Words>5755</Words>
  <Characters>32810</Characters>
  <Application>Microsoft Office Word</Application>
  <DocSecurity>4</DocSecurity>
  <Lines>273</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Megan Jarvie</dc:creator>
  <cp:lastModifiedBy>Mark Bou Mansour</cp:lastModifiedBy>
  <cp:revision>2</cp:revision>
  <cp:lastPrinted>2016-09-08T12:30:00Z</cp:lastPrinted>
  <dcterms:created xsi:type="dcterms:W3CDTF">2016-09-14T16:27:00Z</dcterms:created>
  <dcterms:modified xsi:type="dcterms:W3CDTF">2016-09-14T16:27:00Z</dcterms:modified>
</cp:coreProperties>
</file>