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C263B4" w14:textId="2FDBC2F0" w:rsidR="002A4BA9" w:rsidRPr="008111B2" w:rsidRDefault="002A4BA9" w:rsidP="002A4BA9">
      <w:pPr>
        <w:spacing w:line="288" w:lineRule="auto"/>
        <w:rPr>
          <w:rFonts w:cs="Arial"/>
          <w:b/>
          <w:sz w:val="28"/>
          <w:szCs w:val="28"/>
        </w:rPr>
      </w:pPr>
      <w:r>
        <w:rPr>
          <w:rFonts w:cs="Arial"/>
          <w:b/>
          <w:sz w:val="28"/>
          <w:szCs w:val="28"/>
        </w:rPr>
        <w:t xml:space="preserve">Conflict </w:t>
      </w:r>
      <w:r w:rsidR="0013797F">
        <w:rPr>
          <w:rFonts w:cs="Arial"/>
          <w:b/>
          <w:sz w:val="28"/>
          <w:szCs w:val="28"/>
        </w:rPr>
        <w:t>within the delivery of the extended free entitlement (EFE)</w:t>
      </w:r>
    </w:p>
    <w:p w14:paraId="3C4492B4" w14:textId="59CFFC58" w:rsidR="007D7D19" w:rsidRDefault="007D7D19" w:rsidP="007D7D19">
      <w:pPr>
        <w:spacing w:after="120" w:line="288" w:lineRule="auto"/>
        <w:rPr>
          <w:rFonts w:cs="Arial"/>
          <w:lang w:val="en-US"/>
        </w:rPr>
      </w:pPr>
      <w:r>
        <w:rPr>
          <w:rFonts w:cs="Arial"/>
          <w:lang w:val="en-US"/>
        </w:rPr>
        <w:t>Conflict carries negative connotations.  It is often thought of as the opposite of co-operation, and is most commonly associated with disruption and</w:t>
      </w:r>
      <w:r w:rsidR="00425975">
        <w:rPr>
          <w:rFonts w:cs="Arial"/>
          <w:lang w:val="en-US"/>
        </w:rPr>
        <w:t>,</w:t>
      </w:r>
      <w:r>
        <w:rPr>
          <w:rFonts w:cs="Arial"/>
          <w:lang w:val="en-US"/>
        </w:rPr>
        <w:t xml:space="preserve"> for some, negative emotions such as fear, bullying and aggressive </w:t>
      </w:r>
      <w:proofErr w:type="spellStart"/>
      <w:r>
        <w:rPr>
          <w:rFonts w:cs="Arial"/>
          <w:lang w:val="en-US"/>
        </w:rPr>
        <w:t>behaviour</w:t>
      </w:r>
      <w:proofErr w:type="spellEnd"/>
      <w:r>
        <w:rPr>
          <w:rFonts w:cs="Arial"/>
          <w:lang w:val="en-US"/>
        </w:rPr>
        <w:t xml:space="preserve">.  </w:t>
      </w:r>
      <w:r w:rsidR="00A12D75">
        <w:rPr>
          <w:rFonts w:cs="Arial"/>
          <w:lang w:val="en-US"/>
        </w:rPr>
        <w:t>Conflict does not necessarily mean a significant or fundamental difference and</w:t>
      </w:r>
      <w:r>
        <w:rPr>
          <w:rFonts w:cs="Arial"/>
        </w:rPr>
        <w:t xml:space="preserve"> often arises because of an actual or perceived imbalance of power.</w:t>
      </w:r>
    </w:p>
    <w:p w14:paraId="4123F63E" w14:textId="41016215" w:rsidR="007D7D19" w:rsidRDefault="007D7D19" w:rsidP="007D7D19">
      <w:pPr>
        <w:spacing w:after="120" w:line="288" w:lineRule="auto"/>
        <w:rPr>
          <w:rFonts w:cs="Arial"/>
          <w:lang w:val="en-US"/>
        </w:rPr>
      </w:pPr>
      <w:r>
        <w:rPr>
          <w:rFonts w:cs="Arial"/>
          <w:lang w:val="en-US"/>
        </w:rPr>
        <w:t>This view of conflict as negative is not always helpful.  Conflict can often be a force for positive change - a visible demonstration of adapting to a new environment and can lead to dynamic and creative ways of finding new solutions to situations.</w:t>
      </w:r>
      <w:r w:rsidR="00A12D75">
        <w:rPr>
          <w:rFonts w:cs="Arial"/>
          <w:lang w:val="en-US"/>
        </w:rPr>
        <w:t xml:space="preserve"> </w:t>
      </w:r>
    </w:p>
    <w:p w14:paraId="79F7A536" w14:textId="77777777" w:rsidR="0013797F" w:rsidRDefault="0013797F" w:rsidP="007D7D19">
      <w:pPr>
        <w:spacing w:after="120" w:line="288" w:lineRule="auto"/>
        <w:rPr>
          <w:rFonts w:cs="Arial"/>
          <w:lang w:val="en-US"/>
        </w:rPr>
      </w:pPr>
    </w:p>
    <w:p w14:paraId="2C8A0021" w14:textId="77777777" w:rsidR="0013797F" w:rsidRDefault="0013797F" w:rsidP="007D7D19">
      <w:pPr>
        <w:spacing w:after="120" w:line="288" w:lineRule="auto"/>
        <w:rPr>
          <w:rFonts w:cs="Arial"/>
          <w:b/>
          <w:lang w:val="en-US"/>
        </w:rPr>
      </w:pPr>
      <w:r>
        <w:rPr>
          <w:rFonts w:cs="Arial"/>
          <w:b/>
          <w:lang w:val="en-US"/>
        </w:rPr>
        <w:t>Sources of conflict within the EFE</w:t>
      </w:r>
    </w:p>
    <w:p w14:paraId="1CD245B6" w14:textId="266C1DAB" w:rsidR="0013797F" w:rsidRDefault="004E31E0" w:rsidP="0013797F">
      <w:pPr>
        <w:pStyle w:val="ListParagraph"/>
        <w:numPr>
          <w:ilvl w:val="0"/>
          <w:numId w:val="2"/>
        </w:numPr>
        <w:spacing w:after="120" w:line="288" w:lineRule="auto"/>
        <w:rPr>
          <w:rFonts w:cs="Arial"/>
          <w:lang w:val="en-US"/>
        </w:rPr>
      </w:pPr>
      <w:r>
        <w:rPr>
          <w:rFonts w:cs="Arial"/>
          <w:lang w:val="en-US"/>
        </w:rPr>
        <w:t>A</w:t>
      </w:r>
      <w:r w:rsidR="0013797F">
        <w:rPr>
          <w:rFonts w:cs="Arial"/>
          <w:lang w:val="en-US"/>
        </w:rPr>
        <w:t xml:space="preserve"> partner does not trust the motives of another </w:t>
      </w:r>
      <w:proofErr w:type="gramStart"/>
      <w:r w:rsidR="0013797F">
        <w:rPr>
          <w:rFonts w:cs="Arial"/>
          <w:lang w:val="en-US"/>
        </w:rPr>
        <w:t>or</w:t>
      </w:r>
      <w:proofErr w:type="gramEnd"/>
      <w:r w:rsidR="0013797F">
        <w:rPr>
          <w:rFonts w:cs="Arial"/>
          <w:lang w:val="en-US"/>
        </w:rPr>
        <w:t xml:space="preserve"> other </w:t>
      </w:r>
      <w:r w:rsidR="00E173A5">
        <w:rPr>
          <w:rFonts w:cs="Arial"/>
          <w:lang w:val="en-US"/>
        </w:rPr>
        <w:t>partners</w:t>
      </w:r>
      <w:r w:rsidR="00D051E3">
        <w:rPr>
          <w:rFonts w:cs="Arial"/>
          <w:lang w:val="en-US"/>
        </w:rPr>
        <w:t xml:space="preserve"> – will a partner decide to open a rival childcare facility or change the terms of a rental agreement? </w:t>
      </w:r>
    </w:p>
    <w:p w14:paraId="40CD4FFF" w14:textId="15F51453" w:rsidR="00E173A5" w:rsidRDefault="004E31E0" w:rsidP="0013797F">
      <w:pPr>
        <w:pStyle w:val="ListParagraph"/>
        <w:numPr>
          <w:ilvl w:val="0"/>
          <w:numId w:val="2"/>
        </w:numPr>
        <w:spacing w:after="120" w:line="288" w:lineRule="auto"/>
        <w:rPr>
          <w:rFonts w:cs="Arial"/>
          <w:lang w:val="en-US"/>
        </w:rPr>
      </w:pPr>
      <w:r>
        <w:rPr>
          <w:rFonts w:cs="Arial"/>
          <w:lang w:val="en-US"/>
        </w:rPr>
        <w:t>A partner perceives another partner as being less professional or their staff as being less well qualified or experienced</w:t>
      </w:r>
    </w:p>
    <w:p w14:paraId="26DDCF30" w14:textId="3B58A6AE" w:rsidR="004E31E0" w:rsidRPr="0013797F" w:rsidRDefault="004E31E0" w:rsidP="0013797F">
      <w:pPr>
        <w:pStyle w:val="ListParagraph"/>
        <w:numPr>
          <w:ilvl w:val="0"/>
          <w:numId w:val="2"/>
        </w:numPr>
        <w:spacing w:after="120" w:line="288" w:lineRule="auto"/>
        <w:rPr>
          <w:rFonts w:cs="Arial"/>
          <w:lang w:val="en-US"/>
        </w:rPr>
      </w:pPr>
      <w:r>
        <w:rPr>
          <w:rFonts w:cs="Arial"/>
          <w:lang w:val="en-US"/>
        </w:rPr>
        <w:t>A partner is worried that another partner may attempt to ‘poach’ staff</w:t>
      </w:r>
    </w:p>
    <w:p w14:paraId="188B8A13" w14:textId="77777777" w:rsidR="0013797F" w:rsidRDefault="0013797F" w:rsidP="007D7D19">
      <w:pPr>
        <w:spacing w:after="120" w:line="288" w:lineRule="auto"/>
        <w:rPr>
          <w:rFonts w:cs="Arial"/>
          <w:lang w:val="en-US"/>
        </w:rPr>
      </w:pPr>
    </w:p>
    <w:p w14:paraId="3C7F68CF" w14:textId="7EE4A0D1" w:rsidR="00C80A49" w:rsidRPr="00C80A49" w:rsidRDefault="00C80A49" w:rsidP="007D7D19">
      <w:pPr>
        <w:spacing w:after="120" w:line="288" w:lineRule="auto"/>
        <w:rPr>
          <w:rFonts w:cs="Arial"/>
          <w:b/>
          <w:lang w:val="en-US"/>
        </w:rPr>
      </w:pPr>
      <w:r>
        <w:rPr>
          <w:rFonts w:cs="Arial"/>
          <w:b/>
          <w:lang w:val="en-US"/>
        </w:rPr>
        <w:t>Conflict resolution</w:t>
      </w:r>
    </w:p>
    <w:p w14:paraId="3E60532F" w14:textId="32E4CD38" w:rsidR="002E3732" w:rsidRDefault="004324CB" w:rsidP="00C32243">
      <w:pPr>
        <w:pStyle w:val="Header"/>
        <w:spacing w:after="120" w:line="288" w:lineRule="auto"/>
        <w:rPr>
          <w:rFonts w:cs="Arial"/>
          <w:szCs w:val="22"/>
        </w:rPr>
      </w:pPr>
      <w:r w:rsidRPr="004324CB">
        <w:rPr>
          <w:rFonts w:cs="Arial"/>
          <w:szCs w:val="22"/>
        </w:rPr>
        <w:t>In any situation where there is a degree of di</w:t>
      </w:r>
      <w:r w:rsidR="00B738CA">
        <w:rPr>
          <w:rFonts w:cs="Arial"/>
          <w:szCs w:val="22"/>
        </w:rPr>
        <w:t>sagreement or conflict, there are</w:t>
      </w:r>
      <w:r w:rsidRPr="004324CB">
        <w:rPr>
          <w:rFonts w:cs="Arial"/>
          <w:szCs w:val="22"/>
        </w:rPr>
        <w:t xml:space="preserve"> a number of opt</w:t>
      </w:r>
      <w:r w:rsidR="00B738CA">
        <w:rPr>
          <w:rFonts w:cs="Arial"/>
          <w:szCs w:val="22"/>
        </w:rPr>
        <w:t xml:space="preserve">ions available </w:t>
      </w:r>
      <w:r>
        <w:rPr>
          <w:rFonts w:cs="Arial"/>
          <w:szCs w:val="22"/>
        </w:rPr>
        <w:t xml:space="preserve">ranging from one or other partner deciding to pull out of the partnership completely to </w:t>
      </w:r>
      <w:r w:rsidR="00710861">
        <w:rPr>
          <w:rFonts w:cs="Arial"/>
          <w:szCs w:val="22"/>
        </w:rPr>
        <w:t xml:space="preserve">partners working together to achieve a </w:t>
      </w:r>
      <w:r w:rsidR="00B738CA">
        <w:rPr>
          <w:rFonts w:cs="Arial"/>
          <w:szCs w:val="22"/>
        </w:rPr>
        <w:t>position</w:t>
      </w:r>
      <w:r w:rsidR="00710861">
        <w:rPr>
          <w:rFonts w:cs="Arial"/>
          <w:szCs w:val="22"/>
        </w:rPr>
        <w:t xml:space="preserve"> in which partners feel valued and able to </w:t>
      </w:r>
      <w:r w:rsidR="002E3732">
        <w:rPr>
          <w:rFonts w:cs="Arial"/>
          <w:szCs w:val="22"/>
        </w:rPr>
        <w:t>maintain an active presence.  The decision</w:t>
      </w:r>
      <w:r w:rsidR="00C80A49">
        <w:rPr>
          <w:rFonts w:cs="Arial"/>
          <w:szCs w:val="22"/>
        </w:rPr>
        <w:t xml:space="preserve"> on whether to stay involved or to pull out</w:t>
      </w:r>
      <w:r w:rsidR="002E3732">
        <w:rPr>
          <w:rFonts w:cs="Arial"/>
          <w:szCs w:val="22"/>
        </w:rPr>
        <w:t xml:space="preserve"> will depend a) on how important the partnership is to the partner(s) and b) on the degree to which the partner needs the partnership in order to achieve their goals.</w:t>
      </w:r>
    </w:p>
    <w:p w14:paraId="063880A7" w14:textId="61522ED0" w:rsidR="00C80A49" w:rsidRDefault="00C80A49" w:rsidP="007D7D19">
      <w:pPr>
        <w:pStyle w:val="Header"/>
        <w:spacing w:after="120" w:line="288" w:lineRule="auto"/>
        <w:rPr>
          <w:rFonts w:cs="Arial"/>
          <w:szCs w:val="22"/>
        </w:rPr>
      </w:pPr>
      <w:r>
        <w:rPr>
          <w:rFonts w:cs="Arial"/>
          <w:szCs w:val="22"/>
        </w:rPr>
        <w:t xml:space="preserve">It is almost always advisable to try to resolve a conflict irrespective of </w:t>
      </w:r>
      <w:r w:rsidR="00A12D75">
        <w:rPr>
          <w:rFonts w:cs="Arial"/>
          <w:szCs w:val="22"/>
        </w:rPr>
        <w:t>whether a partner decides to remain in or leave the partnership.</w:t>
      </w:r>
    </w:p>
    <w:p w14:paraId="2E953477" w14:textId="4C7700A1" w:rsidR="0034247C" w:rsidRDefault="0034247C" w:rsidP="00B738CA">
      <w:pPr>
        <w:pStyle w:val="Header"/>
        <w:spacing w:after="120" w:line="288" w:lineRule="auto"/>
        <w:rPr>
          <w:rFonts w:cs="Arial"/>
          <w:szCs w:val="22"/>
        </w:rPr>
      </w:pPr>
      <w:r>
        <w:rPr>
          <w:rFonts w:cs="Arial"/>
          <w:szCs w:val="22"/>
        </w:rPr>
        <w:t xml:space="preserve">The role of resolving conflict does not necessarily lie with the lead partner and, in some situations where, for example one partner does not trust the motives of the lead partner, it may be advisable for another partner (or an outside </w:t>
      </w:r>
      <w:r w:rsidR="00096CFE">
        <w:rPr>
          <w:rFonts w:cs="Arial"/>
          <w:szCs w:val="22"/>
        </w:rPr>
        <w:t>party</w:t>
      </w:r>
      <w:r>
        <w:rPr>
          <w:rFonts w:cs="Arial"/>
          <w:szCs w:val="22"/>
        </w:rPr>
        <w:t>) to take on the role of conflict resolution.</w:t>
      </w:r>
      <w:r w:rsidR="00B738CA">
        <w:rPr>
          <w:rFonts w:cs="Arial"/>
          <w:szCs w:val="22"/>
        </w:rPr>
        <w:t xml:space="preserve">  </w:t>
      </w:r>
    </w:p>
    <w:p w14:paraId="1760C0E4" w14:textId="3F4E1B0F" w:rsidR="00B738CA" w:rsidRDefault="00B738CA" w:rsidP="00B738CA">
      <w:pPr>
        <w:spacing w:after="120" w:line="288" w:lineRule="auto"/>
        <w:rPr>
          <w:rFonts w:cs="Arial"/>
          <w:lang w:val="en-US"/>
        </w:rPr>
      </w:pPr>
      <w:r>
        <w:rPr>
          <w:rFonts w:cs="Arial"/>
          <w:lang w:val="en-US"/>
        </w:rPr>
        <w:t>Conflict resolution requires</w:t>
      </w:r>
      <w:r w:rsidR="00E762DF">
        <w:rPr>
          <w:rFonts w:cs="Arial"/>
          <w:lang w:val="en-US"/>
        </w:rPr>
        <w:t>:</w:t>
      </w:r>
      <w:r>
        <w:rPr>
          <w:rFonts w:cs="Arial"/>
          <w:lang w:val="en-US"/>
        </w:rPr>
        <w:t xml:space="preserve"> </w:t>
      </w:r>
    </w:p>
    <w:p w14:paraId="39F10C19" w14:textId="6F69EB7A" w:rsidR="00432BDB" w:rsidRPr="009736E9" w:rsidRDefault="00432BDB" w:rsidP="009736E9">
      <w:pPr>
        <w:pStyle w:val="ListParagraph"/>
        <w:numPr>
          <w:ilvl w:val="0"/>
          <w:numId w:val="4"/>
        </w:numPr>
      </w:pPr>
      <w:r w:rsidRPr="009736E9">
        <w:t>Honesty and a recognition that there is conflict</w:t>
      </w:r>
    </w:p>
    <w:p w14:paraId="75D4A2CC" w14:textId="77777777" w:rsidR="00B738CA" w:rsidRPr="009736E9" w:rsidRDefault="00B738CA" w:rsidP="009736E9">
      <w:pPr>
        <w:pStyle w:val="ListParagraph"/>
        <w:numPr>
          <w:ilvl w:val="0"/>
          <w:numId w:val="4"/>
        </w:numPr>
      </w:pPr>
      <w:r w:rsidRPr="009736E9">
        <w:t>Commitment to finding a resolution</w:t>
      </w:r>
    </w:p>
    <w:p w14:paraId="7976603F" w14:textId="77777777" w:rsidR="00B738CA" w:rsidRPr="009736E9" w:rsidRDefault="00B738CA" w:rsidP="009736E9">
      <w:pPr>
        <w:pStyle w:val="ListParagraph"/>
        <w:numPr>
          <w:ilvl w:val="0"/>
          <w:numId w:val="4"/>
        </w:numPr>
      </w:pPr>
      <w:r w:rsidRPr="009736E9">
        <w:t>Impartiality and objectivity</w:t>
      </w:r>
    </w:p>
    <w:p w14:paraId="4D573FB5" w14:textId="77777777" w:rsidR="00B738CA" w:rsidRPr="009736E9" w:rsidRDefault="00B738CA" w:rsidP="009736E9">
      <w:pPr>
        <w:pStyle w:val="ListParagraph"/>
        <w:numPr>
          <w:ilvl w:val="0"/>
          <w:numId w:val="4"/>
        </w:numPr>
      </w:pPr>
      <w:r w:rsidRPr="009736E9">
        <w:t>Diffusing the emotion(s)</w:t>
      </w:r>
      <w:bookmarkStart w:id="0" w:name="_GoBack"/>
      <w:bookmarkEnd w:id="0"/>
    </w:p>
    <w:p w14:paraId="2733CF1C" w14:textId="77777777" w:rsidR="00B738CA" w:rsidRPr="009736E9" w:rsidRDefault="00B738CA" w:rsidP="009736E9">
      <w:pPr>
        <w:pStyle w:val="ListParagraph"/>
        <w:numPr>
          <w:ilvl w:val="0"/>
          <w:numId w:val="4"/>
        </w:numPr>
      </w:pPr>
      <w:r w:rsidRPr="009736E9">
        <w:t>Timeliness</w:t>
      </w:r>
    </w:p>
    <w:p w14:paraId="099D1C2C" w14:textId="77777777" w:rsidR="00B738CA" w:rsidRPr="009736E9" w:rsidRDefault="00B738CA" w:rsidP="009736E9">
      <w:pPr>
        <w:pStyle w:val="ListParagraph"/>
        <w:numPr>
          <w:ilvl w:val="0"/>
          <w:numId w:val="4"/>
        </w:numPr>
      </w:pPr>
      <w:r w:rsidRPr="009736E9">
        <w:t>Being non judgemental</w:t>
      </w:r>
    </w:p>
    <w:p w14:paraId="6B4E83E5" w14:textId="77777777" w:rsidR="00B738CA" w:rsidRDefault="00B738CA" w:rsidP="009736E9">
      <w:pPr>
        <w:pStyle w:val="Header"/>
        <w:spacing w:after="120" w:line="288" w:lineRule="auto"/>
        <w:rPr>
          <w:rFonts w:cs="Arial"/>
          <w:szCs w:val="22"/>
        </w:rPr>
      </w:pPr>
    </w:p>
    <w:p w14:paraId="67BFB1F9" w14:textId="14D1B456" w:rsidR="002E3732" w:rsidRDefault="002E3732" w:rsidP="002A4BA9">
      <w:pPr>
        <w:pStyle w:val="Header"/>
        <w:spacing w:after="120" w:line="288" w:lineRule="auto"/>
        <w:rPr>
          <w:rFonts w:cs="Arial"/>
          <w:szCs w:val="22"/>
        </w:rPr>
      </w:pPr>
      <w:r>
        <w:rPr>
          <w:rFonts w:cs="Arial"/>
          <w:szCs w:val="22"/>
        </w:rPr>
        <w:t xml:space="preserve">The matrix </w:t>
      </w:r>
      <w:r w:rsidR="007D7D19">
        <w:rPr>
          <w:rFonts w:cs="Arial"/>
          <w:szCs w:val="22"/>
        </w:rPr>
        <w:t>on the following page</w:t>
      </w:r>
      <w:r>
        <w:rPr>
          <w:rFonts w:cs="Arial"/>
          <w:szCs w:val="22"/>
        </w:rPr>
        <w:t xml:space="preserve"> plots four possible approaches</w:t>
      </w:r>
      <w:r w:rsidR="007123A4">
        <w:rPr>
          <w:rFonts w:cs="Arial"/>
          <w:szCs w:val="22"/>
        </w:rPr>
        <w:t xml:space="preserve"> or </w:t>
      </w:r>
      <w:r w:rsidR="00432BDB">
        <w:rPr>
          <w:rFonts w:cs="Arial"/>
          <w:szCs w:val="22"/>
        </w:rPr>
        <w:t xml:space="preserve">strategies that </w:t>
      </w:r>
      <w:r w:rsidR="007123A4">
        <w:rPr>
          <w:rFonts w:cs="Arial"/>
          <w:szCs w:val="22"/>
        </w:rPr>
        <w:t>a partnership</w:t>
      </w:r>
      <w:r w:rsidR="00432BDB">
        <w:rPr>
          <w:rFonts w:cs="Arial"/>
          <w:szCs w:val="22"/>
        </w:rPr>
        <w:t xml:space="preserve"> can take in resolving conflict</w:t>
      </w:r>
      <w:r w:rsidR="007123A4">
        <w:rPr>
          <w:rFonts w:cs="Arial"/>
          <w:szCs w:val="22"/>
        </w:rPr>
        <w:t>:</w:t>
      </w:r>
    </w:p>
    <w:p w14:paraId="315C5822" w14:textId="4C00134B" w:rsidR="007123A4" w:rsidRDefault="007123A4" w:rsidP="00C32243">
      <w:pPr>
        <w:spacing w:after="120" w:line="288" w:lineRule="auto"/>
        <w:rPr>
          <w:szCs w:val="22"/>
        </w:rPr>
      </w:pPr>
      <w:r w:rsidRPr="00F66D46">
        <w:rPr>
          <w:b/>
          <w:bCs/>
          <w:szCs w:val="22"/>
        </w:rPr>
        <w:lastRenderedPageBreak/>
        <w:t>Consensus -</w:t>
      </w:r>
      <w:r w:rsidRPr="00F66D46">
        <w:rPr>
          <w:b/>
          <w:szCs w:val="22"/>
        </w:rPr>
        <w:t xml:space="preserve"> </w:t>
      </w:r>
      <w:r w:rsidRPr="00F66D46">
        <w:rPr>
          <w:szCs w:val="22"/>
        </w:rPr>
        <w:t>sets out to minimise ‘trade-offs’ and their negative associations, seeking a ‘win-win’ outcome in which each partner works creatively to find a solution that everyone can support.</w:t>
      </w:r>
      <w:r>
        <w:rPr>
          <w:szCs w:val="22"/>
        </w:rPr>
        <w:t xml:space="preserve">  Achieving consensus involves one or more partners talking through the issues that are creating the conflict and identifying the positive benefits of the partnership to the partner(s) in conflict.</w:t>
      </w:r>
      <w:r w:rsidR="00CC7512">
        <w:rPr>
          <w:szCs w:val="22"/>
        </w:rPr>
        <w:t xml:space="preserve">  </w:t>
      </w:r>
    </w:p>
    <w:p w14:paraId="4321359A" w14:textId="71658894" w:rsidR="00E66B53" w:rsidRDefault="00E66B53" w:rsidP="00C32243">
      <w:pPr>
        <w:spacing w:after="120" w:line="288" w:lineRule="auto"/>
        <w:rPr>
          <w:szCs w:val="22"/>
        </w:rPr>
      </w:pPr>
      <w:r w:rsidRPr="00F66D46">
        <w:rPr>
          <w:b/>
          <w:bCs/>
          <w:szCs w:val="22"/>
        </w:rPr>
        <w:t xml:space="preserve">Compromise </w:t>
      </w:r>
      <w:r>
        <w:rPr>
          <w:b/>
          <w:bCs/>
          <w:szCs w:val="22"/>
        </w:rPr>
        <w:t>–</w:t>
      </w:r>
      <w:r w:rsidRPr="00F66D46">
        <w:rPr>
          <w:b/>
          <w:bCs/>
          <w:szCs w:val="22"/>
        </w:rPr>
        <w:t xml:space="preserve"> </w:t>
      </w:r>
      <w:r>
        <w:rPr>
          <w:bCs/>
          <w:szCs w:val="22"/>
        </w:rPr>
        <w:t xml:space="preserve">occurs </w:t>
      </w:r>
      <w:r w:rsidRPr="00F66D46">
        <w:rPr>
          <w:szCs w:val="22"/>
        </w:rPr>
        <w:t>when one partner values a strong and continuing relationship within the partnership above the attainment of its own specific go</w:t>
      </w:r>
      <w:r>
        <w:rPr>
          <w:szCs w:val="22"/>
        </w:rPr>
        <w:t>als; the compromising partner</w:t>
      </w:r>
      <w:r w:rsidRPr="00F66D46">
        <w:rPr>
          <w:szCs w:val="22"/>
        </w:rPr>
        <w:t xml:space="preserve"> forgoes something but perceives that this was worth it because of the importance of the relationship. </w:t>
      </w:r>
    </w:p>
    <w:p w14:paraId="14641548" w14:textId="6534D21F" w:rsidR="007B1B43" w:rsidRPr="00F66D46" w:rsidRDefault="007B1B43" w:rsidP="00C32243">
      <w:pPr>
        <w:spacing w:after="120" w:line="288" w:lineRule="auto"/>
        <w:rPr>
          <w:szCs w:val="22"/>
        </w:rPr>
      </w:pPr>
      <w:r w:rsidRPr="00F66D46">
        <w:rPr>
          <w:b/>
          <w:bCs/>
          <w:szCs w:val="22"/>
        </w:rPr>
        <w:t xml:space="preserve">Withdrawal </w:t>
      </w:r>
      <w:r>
        <w:rPr>
          <w:b/>
          <w:bCs/>
          <w:szCs w:val="22"/>
        </w:rPr>
        <w:t>–</w:t>
      </w:r>
      <w:r w:rsidRPr="00F66D46">
        <w:rPr>
          <w:b/>
          <w:bCs/>
          <w:szCs w:val="22"/>
        </w:rPr>
        <w:t xml:space="preserve"> </w:t>
      </w:r>
      <w:r>
        <w:rPr>
          <w:szCs w:val="22"/>
        </w:rPr>
        <w:t xml:space="preserve">often happens where a partner decides that they would prefer to </w:t>
      </w:r>
      <w:r w:rsidRPr="00F66D46">
        <w:rPr>
          <w:szCs w:val="22"/>
        </w:rPr>
        <w:t xml:space="preserve">avoid confrontation </w:t>
      </w:r>
      <w:r w:rsidR="002D3AC9">
        <w:rPr>
          <w:szCs w:val="22"/>
        </w:rPr>
        <w:t xml:space="preserve">and/or dealing with the difference(s) </w:t>
      </w:r>
      <w:r>
        <w:rPr>
          <w:szCs w:val="22"/>
        </w:rPr>
        <w:t xml:space="preserve">and that this is more important than remaining in the partnership to achieve individual or collective goals.  </w:t>
      </w:r>
      <w:r w:rsidRPr="00F66D46">
        <w:rPr>
          <w:szCs w:val="22"/>
        </w:rPr>
        <w:t>Delay tactics and boycotting are also examples of withdrawal</w:t>
      </w:r>
      <w:r w:rsidR="002D3AC9">
        <w:rPr>
          <w:szCs w:val="22"/>
        </w:rPr>
        <w:t xml:space="preserve"> behaviour</w:t>
      </w:r>
      <w:r w:rsidRPr="00F66D46">
        <w:rPr>
          <w:szCs w:val="22"/>
        </w:rPr>
        <w:t>.</w:t>
      </w:r>
      <w:r w:rsidR="002D3AC9">
        <w:rPr>
          <w:szCs w:val="22"/>
        </w:rPr>
        <w:t xml:space="preserve">  If one partner decides to withdraw, the remaining partners will need to take a view on whether they wish this partner to stay </w:t>
      </w:r>
      <w:r w:rsidR="00F3732A">
        <w:rPr>
          <w:szCs w:val="22"/>
        </w:rPr>
        <w:t>within the partnership and then decide how they can achieve a compromise or consensus.</w:t>
      </w:r>
    </w:p>
    <w:p w14:paraId="76DACE17" w14:textId="2DB34210" w:rsidR="00E66B53" w:rsidRPr="00C32243" w:rsidRDefault="00F3732A" w:rsidP="001628F4">
      <w:pPr>
        <w:spacing w:line="288" w:lineRule="auto"/>
        <w:rPr>
          <w:b/>
          <w:szCs w:val="22"/>
        </w:rPr>
      </w:pPr>
      <w:r w:rsidRPr="00F66D46">
        <w:rPr>
          <w:b/>
          <w:bCs/>
          <w:szCs w:val="22"/>
        </w:rPr>
        <w:t xml:space="preserve">Force </w:t>
      </w:r>
      <w:r>
        <w:rPr>
          <w:b/>
          <w:bCs/>
          <w:szCs w:val="22"/>
        </w:rPr>
        <w:t>–</w:t>
      </w:r>
      <w:r w:rsidRPr="00F66D46">
        <w:rPr>
          <w:b/>
          <w:bCs/>
          <w:szCs w:val="22"/>
        </w:rPr>
        <w:t xml:space="preserve"> </w:t>
      </w:r>
      <w:r>
        <w:rPr>
          <w:bCs/>
          <w:szCs w:val="22"/>
        </w:rPr>
        <w:t>is usually the least favoured approach</w:t>
      </w:r>
      <w:r w:rsidR="00C32243">
        <w:rPr>
          <w:bCs/>
          <w:szCs w:val="22"/>
        </w:rPr>
        <w:t xml:space="preserve"> and arises </w:t>
      </w:r>
      <w:r w:rsidRPr="00F66D46">
        <w:rPr>
          <w:szCs w:val="22"/>
        </w:rPr>
        <w:t xml:space="preserve">where one partner has the means and inclination to </w:t>
      </w:r>
      <w:r w:rsidR="00C32243">
        <w:rPr>
          <w:szCs w:val="22"/>
        </w:rPr>
        <w:t>get what they want</w:t>
      </w:r>
      <w:r w:rsidRPr="00F66D46">
        <w:rPr>
          <w:szCs w:val="22"/>
        </w:rPr>
        <w:t xml:space="preserve"> regardless of whether the other partner loses, and whether or not the process of winning causes damage to relationships. </w:t>
      </w:r>
      <w:r w:rsidR="00C32243">
        <w:rPr>
          <w:szCs w:val="22"/>
        </w:rPr>
        <w:t xml:space="preserve"> </w:t>
      </w:r>
      <w:r w:rsidRPr="00F66D46">
        <w:rPr>
          <w:szCs w:val="22"/>
        </w:rPr>
        <w:t>Force can include a real or perceived imbalance of power, a real or perceived threat associated with being part of the partnership or intimida</w:t>
      </w:r>
      <w:r w:rsidR="00C32243">
        <w:rPr>
          <w:szCs w:val="22"/>
        </w:rPr>
        <w:t>ting language or behaviour</w:t>
      </w:r>
    </w:p>
    <w:p w14:paraId="63117FAF" w14:textId="77777777" w:rsidR="007123A4" w:rsidRDefault="007123A4" w:rsidP="004E31E0">
      <w:pPr>
        <w:pStyle w:val="Header"/>
        <w:rPr>
          <w:rFonts w:cs="Arial"/>
          <w:szCs w:val="22"/>
        </w:rPr>
      </w:pPr>
    </w:p>
    <w:p w14:paraId="7F6CEC51" w14:textId="77777777" w:rsidR="00C32243" w:rsidRDefault="00C32243" w:rsidP="00C32243">
      <w:pPr>
        <w:rPr>
          <w:b/>
        </w:rPr>
      </w:pPr>
      <w:r>
        <w:rPr>
          <w:b/>
        </w:rPr>
        <w:t>Conflict management strategies</w:t>
      </w:r>
    </w:p>
    <w:p w14:paraId="4E93A1D8" w14:textId="77777777" w:rsidR="00C94ACC" w:rsidRDefault="00C94ACC" w:rsidP="00C32243">
      <w:pPr>
        <w:rPr>
          <w:b/>
        </w:rPr>
      </w:pPr>
    </w:p>
    <w:tbl>
      <w:tblPr>
        <w:tblW w:w="8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354"/>
        <w:gridCol w:w="2922"/>
        <w:gridCol w:w="2923"/>
      </w:tblGrid>
      <w:tr w:rsidR="002A4BA9" w:rsidRPr="0067454C" w14:paraId="289684EB" w14:textId="77777777" w:rsidTr="00C94ACC">
        <w:trPr>
          <w:trHeight w:val="1961"/>
        </w:trPr>
        <w:tc>
          <w:tcPr>
            <w:tcW w:w="817" w:type="dxa"/>
            <w:vMerge w:val="restart"/>
            <w:tcBorders>
              <w:top w:val="nil"/>
              <w:left w:val="nil"/>
              <w:bottom w:val="nil"/>
              <w:right w:val="nil"/>
            </w:tcBorders>
            <w:shd w:val="clear" w:color="auto" w:fill="auto"/>
            <w:textDirection w:val="btLr"/>
            <w:vAlign w:val="center"/>
          </w:tcPr>
          <w:p w14:paraId="1756ECEC" w14:textId="77777777" w:rsidR="002A4BA9" w:rsidRPr="00C94ACC" w:rsidRDefault="002A4BA9" w:rsidP="004324CB">
            <w:pPr>
              <w:pStyle w:val="Header"/>
              <w:spacing w:after="120" w:line="288" w:lineRule="auto"/>
              <w:ind w:left="113" w:right="113"/>
              <w:jc w:val="center"/>
              <w:rPr>
                <w:rFonts w:cs="Arial"/>
                <w:b/>
                <w:szCs w:val="22"/>
              </w:rPr>
            </w:pPr>
            <w:r w:rsidRPr="00C94ACC">
              <w:rPr>
                <w:rFonts w:cs="Arial"/>
                <w:b/>
                <w:szCs w:val="22"/>
              </w:rPr>
              <w:t>Importance of the partnership</w:t>
            </w:r>
          </w:p>
        </w:tc>
        <w:tc>
          <w:tcPr>
            <w:tcW w:w="1354" w:type="dxa"/>
            <w:tcBorders>
              <w:top w:val="nil"/>
              <w:left w:val="nil"/>
              <w:bottom w:val="nil"/>
              <w:right w:val="single" w:sz="8" w:space="0" w:color="000000"/>
            </w:tcBorders>
            <w:shd w:val="clear" w:color="auto" w:fill="auto"/>
            <w:vAlign w:val="center"/>
          </w:tcPr>
          <w:p w14:paraId="7CCBD5E6" w14:textId="77777777" w:rsidR="002A4BA9" w:rsidRPr="0067454C" w:rsidRDefault="002A4BA9" w:rsidP="004324CB">
            <w:pPr>
              <w:pStyle w:val="Header"/>
              <w:spacing w:after="120" w:line="288" w:lineRule="auto"/>
              <w:jc w:val="center"/>
              <w:rPr>
                <w:rFonts w:cs="Arial"/>
                <w:szCs w:val="22"/>
              </w:rPr>
            </w:pPr>
            <w:r>
              <w:rPr>
                <w:rFonts w:cs="Arial"/>
                <w:szCs w:val="22"/>
              </w:rPr>
              <w:t>Very</w:t>
            </w:r>
          </w:p>
        </w:tc>
        <w:tc>
          <w:tcPr>
            <w:tcW w:w="29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D9D34A" w14:textId="77777777" w:rsidR="002A4BA9" w:rsidRDefault="002A4BA9" w:rsidP="004324CB">
            <w:pPr>
              <w:jc w:val="center"/>
              <w:rPr>
                <w:b/>
              </w:rPr>
            </w:pPr>
            <w:r w:rsidRPr="003B25CA">
              <w:rPr>
                <w:b/>
              </w:rPr>
              <w:t>Compromise</w:t>
            </w:r>
          </w:p>
        </w:tc>
        <w:tc>
          <w:tcPr>
            <w:tcW w:w="292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8B85BD" w14:textId="77777777" w:rsidR="002A4BA9" w:rsidRDefault="002A4BA9" w:rsidP="004324CB">
            <w:pPr>
              <w:jc w:val="center"/>
              <w:rPr>
                <w:b/>
              </w:rPr>
            </w:pPr>
            <w:r>
              <w:rPr>
                <w:b/>
              </w:rPr>
              <w:t>Consensus</w:t>
            </w:r>
          </w:p>
        </w:tc>
      </w:tr>
      <w:tr w:rsidR="002A4BA9" w:rsidRPr="0067454C" w14:paraId="4164043E" w14:textId="77777777" w:rsidTr="00C94ACC">
        <w:trPr>
          <w:trHeight w:val="1931"/>
        </w:trPr>
        <w:tc>
          <w:tcPr>
            <w:tcW w:w="817" w:type="dxa"/>
            <w:vMerge/>
            <w:tcBorders>
              <w:top w:val="nil"/>
              <w:left w:val="nil"/>
              <w:bottom w:val="nil"/>
              <w:right w:val="nil"/>
            </w:tcBorders>
            <w:shd w:val="clear" w:color="auto" w:fill="auto"/>
          </w:tcPr>
          <w:p w14:paraId="3175FC5F" w14:textId="77777777" w:rsidR="002A4BA9" w:rsidRPr="0067454C" w:rsidRDefault="002A4BA9" w:rsidP="004324CB">
            <w:pPr>
              <w:pStyle w:val="Header"/>
              <w:spacing w:after="120" w:line="288" w:lineRule="auto"/>
              <w:rPr>
                <w:rFonts w:cs="Arial"/>
                <w:szCs w:val="22"/>
              </w:rPr>
            </w:pPr>
          </w:p>
        </w:tc>
        <w:tc>
          <w:tcPr>
            <w:tcW w:w="1354" w:type="dxa"/>
            <w:tcBorders>
              <w:top w:val="nil"/>
              <w:left w:val="nil"/>
              <w:bottom w:val="nil"/>
              <w:right w:val="single" w:sz="8" w:space="0" w:color="000000"/>
            </w:tcBorders>
            <w:shd w:val="clear" w:color="auto" w:fill="auto"/>
            <w:vAlign w:val="center"/>
          </w:tcPr>
          <w:p w14:paraId="165F898D" w14:textId="77777777" w:rsidR="002A4BA9" w:rsidRPr="0067454C" w:rsidRDefault="002A4BA9" w:rsidP="004324CB">
            <w:pPr>
              <w:pStyle w:val="Header"/>
              <w:spacing w:after="120" w:line="288" w:lineRule="auto"/>
              <w:jc w:val="center"/>
              <w:rPr>
                <w:rFonts w:cs="Arial"/>
                <w:szCs w:val="22"/>
              </w:rPr>
            </w:pPr>
            <w:r>
              <w:rPr>
                <w:rFonts w:cs="Arial"/>
                <w:szCs w:val="22"/>
              </w:rPr>
              <w:t>Not very</w:t>
            </w:r>
          </w:p>
        </w:tc>
        <w:tc>
          <w:tcPr>
            <w:tcW w:w="29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2CB32C" w14:textId="77777777" w:rsidR="002A4BA9" w:rsidRDefault="002A4BA9" w:rsidP="004324CB">
            <w:pPr>
              <w:jc w:val="center"/>
              <w:rPr>
                <w:b/>
              </w:rPr>
            </w:pPr>
            <w:r>
              <w:rPr>
                <w:b/>
              </w:rPr>
              <w:t>Withdraw</w:t>
            </w:r>
          </w:p>
        </w:tc>
        <w:tc>
          <w:tcPr>
            <w:tcW w:w="292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E28DBA" w14:textId="77777777" w:rsidR="002A4BA9" w:rsidRDefault="002A4BA9" w:rsidP="004324CB">
            <w:pPr>
              <w:jc w:val="center"/>
              <w:rPr>
                <w:b/>
              </w:rPr>
            </w:pPr>
            <w:r>
              <w:rPr>
                <w:b/>
              </w:rPr>
              <w:t>Force</w:t>
            </w:r>
          </w:p>
        </w:tc>
      </w:tr>
      <w:tr w:rsidR="002A4BA9" w:rsidRPr="0067454C" w14:paraId="3C9DAF3E" w14:textId="77777777" w:rsidTr="00C94ACC">
        <w:tc>
          <w:tcPr>
            <w:tcW w:w="817" w:type="dxa"/>
            <w:tcBorders>
              <w:top w:val="nil"/>
              <w:left w:val="nil"/>
              <w:bottom w:val="nil"/>
              <w:right w:val="nil"/>
            </w:tcBorders>
            <w:shd w:val="clear" w:color="auto" w:fill="auto"/>
          </w:tcPr>
          <w:p w14:paraId="3503990A" w14:textId="77777777" w:rsidR="002A4BA9" w:rsidRPr="0067454C" w:rsidRDefault="002A4BA9" w:rsidP="004324CB">
            <w:pPr>
              <w:pStyle w:val="Header"/>
              <w:spacing w:after="120" w:line="288" w:lineRule="auto"/>
              <w:rPr>
                <w:rFonts w:cs="Arial"/>
                <w:szCs w:val="22"/>
              </w:rPr>
            </w:pPr>
          </w:p>
        </w:tc>
        <w:tc>
          <w:tcPr>
            <w:tcW w:w="1354" w:type="dxa"/>
            <w:tcBorders>
              <w:top w:val="nil"/>
              <w:left w:val="nil"/>
              <w:bottom w:val="nil"/>
              <w:right w:val="nil"/>
            </w:tcBorders>
            <w:shd w:val="clear" w:color="auto" w:fill="auto"/>
          </w:tcPr>
          <w:p w14:paraId="6612D84B" w14:textId="77777777" w:rsidR="002A4BA9" w:rsidRPr="0067454C" w:rsidRDefault="002A4BA9" w:rsidP="004324CB">
            <w:pPr>
              <w:pStyle w:val="Header"/>
              <w:spacing w:after="120" w:line="288" w:lineRule="auto"/>
              <w:rPr>
                <w:rFonts w:cs="Arial"/>
                <w:szCs w:val="22"/>
              </w:rPr>
            </w:pPr>
          </w:p>
        </w:tc>
        <w:tc>
          <w:tcPr>
            <w:tcW w:w="5845" w:type="dxa"/>
            <w:gridSpan w:val="2"/>
            <w:tcBorders>
              <w:top w:val="single" w:sz="8" w:space="0" w:color="000000"/>
              <w:left w:val="nil"/>
              <w:bottom w:val="nil"/>
              <w:right w:val="nil"/>
            </w:tcBorders>
            <w:shd w:val="clear" w:color="auto" w:fill="auto"/>
          </w:tcPr>
          <w:p w14:paraId="7C008FE8" w14:textId="77777777" w:rsidR="002A4BA9" w:rsidRDefault="002A4BA9" w:rsidP="004324CB">
            <w:pPr>
              <w:rPr>
                <w:b/>
              </w:rPr>
            </w:pPr>
          </w:p>
        </w:tc>
      </w:tr>
      <w:tr w:rsidR="002A4BA9" w:rsidRPr="0067454C" w14:paraId="6B15FA76" w14:textId="77777777" w:rsidTr="00C94ACC">
        <w:trPr>
          <w:trHeight w:val="219"/>
        </w:trPr>
        <w:tc>
          <w:tcPr>
            <w:tcW w:w="817" w:type="dxa"/>
            <w:tcBorders>
              <w:top w:val="nil"/>
              <w:left w:val="nil"/>
              <w:bottom w:val="nil"/>
              <w:right w:val="nil"/>
            </w:tcBorders>
            <w:shd w:val="clear" w:color="auto" w:fill="auto"/>
          </w:tcPr>
          <w:p w14:paraId="0858B006" w14:textId="77777777" w:rsidR="002A4BA9" w:rsidRPr="0067454C" w:rsidRDefault="002A4BA9" w:rsidP="004324CB">
            <w:pPr>
              <w:pStyle w:val="Header"/>
              <w:spacing w:after="120" w:line="288" w:lineRule="auto"/>
              <w:rPr>
                <w:rFonts w:cs="Arial"/>
                <w:szCs w:val="22"/>
              </w:rPr>
            </w:pPr>
          </w:p>
        </w:tc>
        <w:tc>
          <w:tcPr>
            <w:tcW w:w="1354" w:type="dxa"/>
            <w:tcBorders>
              <w:top w:val="nil"/>
              <w:left w:val="nil"/>
              <w:bottom w:val="nil"/>
              <w:right w:val="nil"/>
            </w:tcBorders>
            <w:shd w:val="clear" w:color="auto" w:fill="auto"/>
          </w:tcPr>
          <w:p w14:paraId="4D658921" w14:textId="77777777" w:rsidR="002A4BA9" w:rsidRPr="0067454C" w:rsidRDefault="002A4BA9" w:rsidP="004324CB">
            <w:pPr>
              <w:pStyle w:val="Header"/>
              <w:spacing w:after="120" w:line="288" w:lineRule="auto"/>
              <w:rPr>
                <w:rFonts w:cs="Arial"/>
                <w:szCs w:val="22"/>
              </w:rPr>
            </w:pPr>
          </w:p>
        </w:tc>
        <w:tc>
          <w:tcPr>
            <w:tcW w:w="2922" w:type="dxa"/>
            <w:tcBorders>
              <w:top w:val="nil"/>
              <w:left w:val="nil"/>
              <w:bottom w:val="nil"/>
              <w:right w:val="nil"/>
            </w:tcBorders>
            <w:shd w:val="clear" w:color="auto" w:fill="auto"/>
            <w:vAlign w:val="center"/>
          </w:tcPr>
          <w:p w14:paraId="4B4AA49C" w14:textId="77777777" w:rsidR="002A4BA9" w:rsidRPr="0067454C" w:rsidRDefault="002A4BA9" w:rsidP="004324CB">
            <w:pPr>
              <w:pStyle w:val="Header"/>
              <w:spacing w:after="120" w:line="288" w:lineRule="auto"/>
              <w:jc w:val="center"/>
              <w:rPr>
                <w:rFonts w:cs="Arial"/>
                <w:szCs w:val="22"/>
              </w:rPr>
            </w:pPr>
            <w:r w:rsidRPr="0067454C">
              <w:rPr>
                <w:rFonts w:cs="Arial"/>
                <w:szCs w:val="22"/>
              </w:rPr>
              <w:t>Not very</w:t>
            </w:r>
          </w:p>
        </w:tc>
        <w:tc>
          <w:tcPr>
            <w:tcW w:w="2923" w:type="dxa"/>
            <w:tcBorders>
              <w:top w:val="nil"/>
              <w:left w:val="nil"/>
              <w:bottom w:val="nil"/>
              <w:right w:val="nil"/>
            </w:tcBorders>
            <w:shd w:val="clear" w:color="auto" w:fill="auto"/>
            <w:vAlign w:val="center"/>
          </w:tcPr>
          <w:p w14:paraId="0999C48D" w14:textId="77777777" w:rsidR="002A4BA9" w:rsidRPr="0067454C" w:rsidRDefault="002A4BA9" w:rsidP="004324CB">
            <w:pPr>
              <w:pStyle w:val="Header"/>
              <w:spacing w:after="120" w:line="288" w:lineRule="auto"/>
              <w:jc w:val="center"/>
              <w:rPr>
                <w:rFonts w:cs="Arial"/>
                <w:szCs w:val="22"/>
              </w:rPr>
            </w:pPr>
            <w:r w:rsidRPr="0067454C">
              <w:rPr>
                <w:rFonts w:cs="Arial"/>
                <w:szCs w:val="22"/>
              </w:rPr>
              <w:t>Very</w:t>
            </w:r>
          </w:p>
        </w:tc>
      </w:tr>
      <w:tr w:rsidR="00C94ACC" w:rsidRPr="0067454C" w14:paraId="375195BA" w14:textId="77777777" w:rsidTr="00096CFE">
        <w:tc>
          <w:tcPr>
            <w:tcW w:w="817" w:type="dxa"/>
            <w:tcBorders>
              <w:top w:val="nil"/>
              <w:left w:val="nil"/>
              <w:bottom w:val="nil"/>
              <w:right w:val="nil"/>
            </w:tcBorders>
            <w:shd w:val="clear" w:color="auto" w:fill="auto"/>
          </w:tcPr>
          <w:p w14:paraId="45366545" w14:textId="77777777" w:rsidR="00C94ACC" w:rsidRPr="0067454C" w:rsidRDefault="00C94ACC" w:rsidP="004324CB">
            <w:pPr>
              <w:pStyle w:val="Header"/>
              <w:spacing w:after="120" w:line="288" w:lineRule="auto"/>
              <w:rPr>
                <w:rFonts w:cs="Arial"/>
                <w:szCs w:val="22"/>
              </w:rPr>
            </w:pPr>
          </w:p>
        </w:tc>
        <w:tc>
          <w:tcPr>
            <w:tcW w:w="7199" w:type="dxa"/>
            <w:gridSpan w:val="3"/>
            <w:tcBorders>
              <w:top w:val="nil"/>
              <w:left w:val="nil"/>
              <w:bottom w:val="nil"/>
              <w:right w:val="nil"/>
            </w:tcBorders>
            <w:shd w:val="clear" w:color="auto" w:fill="auto"/>
          </w:tcPr>
          <w:p w14:paraId="414CB892" w14:textId="77777777" w:rsidR="00C94ACC" w:rsidRPr="00C94ACC" w:rsidRDefault="00C94ACC" w:rsidP="004324CB">
            <w:pPr>
              <w:pStyle w:val="Header"/>
              <w:spacing w:after="120" w:line="288" w:lineRule="auto"/>
              <w:jc w:val="center"/>
              <w:rPr>
                <w:rFonts w:cs="Arial"/>
                <w:b/>
                <w:szCs w:val="22"/>
              </w:rPr>
            </w:pPr>
            <w:r w:rsidRPr="00C94ACC">
              <w:rPr>
                <w:rFonts w:cs="Arial"/>
                <w:b/>
                <w:szCs w:val="22"/>
              </w:rPr>
              <w:t>Importance of the issue in relation to achieving partnership goals</w:t>
            </w:r>
          </w:p>
        </w:tc>
      </w:tr>
    </w:tbl>
    <w:p w14:paraId="3A1AB617" w14:textId="77777777" w:rsidR="005E2860" w:rsidRDefault="005E2860" w:rsidP="00E762DF"/>
    <w:sectPr w:rsidR="005E2860" w:rsidSect="00F66D46">
      <w:headerReference w:type="default" r:id="rId8"/>
      <w:footerReference w:type="even" r:id="rId9"/>
      <w:footerReference w:type="default" r:id="rId10"/>
      <w:pgSz w:w="11901" w:h="1681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BEA30" w14:textId="77777777" w:rsidR="00096CFE" w:rsidRDefault="00096CFE" w:rsidP="00F66D46">
      <w:r>
        <w:separator/>
      </w:r>
    </w:p>
  </w:endnote>
  <w:endnote w:type="continuationSeparator" w:id="0">
    <w:p w14:paraId="71970E77" w14:textId="77777777" w:rsidR="00096CFE" w:rsidRDefault="00096CFE" w:rsidP="00F66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FDB85" w14:textId="77777777" w:rsidR="00096CFE" w:rsidRDefault="00096CFE" w:rsidP="004324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E56444" w14:textId="77777777" w:rsidR="00096CFE" w:rsidRDefault="00096CFE" w:rsidP="00F66D4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8E639" w14:textId="77777777" w:rsidR="00096CFE" w:rsidRDefault="00096CFE" w:rsidP="004324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7BD3">
      <w:rPr>
        <w:rStyle w:val="PageNumber"/>
        <w:noProof/>
      </w:rPr>
      <w:t>1</w:t>
    </w:r>
    <w:r>
      <w:rPr>
        <w:rStyle w:val="PageNumber"/>
      </w:rPr>
      <w:fldChar w:fldCharType="end"/>
    </w:r>
  </w:p>
  <w:p w14:paraId="37E4E2BD" w14:textId="77777777" w:rsidR="00096CFE" w:rsidRDefault="00096CFE" w:rsidP="00F66D4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91C6F" w14:textId="77777777" w:rsidR="00096CFE" w:rsidRDefault="00096CFE" w:rsidP="00F66D46">
      <w:r>
        <w:separator/>
      </w:r>
    </w:p>
  </w:footnote>
  <w:footnote w:type="continuationSeparator" w:id="0">
    <w:p w14:paraId="5E54FE7A" w14:textId="77777777" w:rsidR="00096CFE" w:rsidRDefault="00096CFE" w:rsidP="00F66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EA268" w14:textId="32D2F7C6" w:rsidR="00096CFE" w:rsidRDefault="00096CFE" w:rsidP="00E762DF">
    <w:pPr>
      <w:pStyle w:val="Header"/>
      <w:tabs>
        <w:tab w:val="left" w:pos="1125"/>
        <w:tab w:val="right" w:pos="9065"/>
      </w:tabs>
      <w:jc w:val="right"/>
    </w:pPr>
    <w:r>
      <w:tab/>
    </w:r>
    <w:r>
      <w:tab/>
    </w:r>
    <w:r>
      <w:tab/>
    </w:r>
    <w:r>
      <w:rPr>
        <w:rFonts w:ascii="Calibri" w:hAnsi="Calibri"/>
        <w:noProof/>
        <w:lang w:eastAsia="en-GB"/>
      </w:rPr>
      <w:drawing>
        <wp:inline distT="0" distB="0" distL="0" distR="0" wp14:anchorId="0CA13D8E" wp14:editId="20C32424">
          <wp:extent cx="1092200" cy="671825"/>
          <wp:effectExtent l="0" t="0" r="0" b="0"/>
          <wp:docPr id="1" name="Picture 74" descr="Department for Educat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Department for Education" title="Logo"/>
                  <pic:cNvPicPr/>
                </pic:nvPicPr>
                <pic:blipFill rotWithShape="1">
                  <a:blip r:embed="rId1" cstate="print">
                    <a:extLst>
                      <a:ext uri="{28A0092B-C50C-407E-A947-70E740481C1C}">
                        <a14:useLocalDpi xmlns:a14="http://schemas.microsoft.com/office/drawing/2010/main" val="0"/>
                      </a:ext>
                    </a:extLst>
                  </a:blip>
                  <a:srcRect t="-3" r="38062" b="23010"/>
                  <a:stretch/>
                </pic:blipFill>
                <pic:spPr bwMode="auto">
                  <a:xfrm>
                    <a:off x="0" y="0"/>
                    <a:ext cx="1092200" cy="671195"/>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GB"/>
      </w:rPr>
      <w:drawing>
        <wp:anchor distT="0" distB="0" distL="114300" distR="114300" simplePos="0" relativeHeight="251659264" behindDoc="1" locked="1" layoutInCell="1" allowOverlap="1" wp14:anchorId="794E2B5A" wp14:editId="7221D2BB">
          <wp:simplePos x="0" y="0"/>
          <wp:positionH relativeFrom="page">
            <wp:posOffset>323850</wp:posOffset>
          </wp:positionH>
          <wp:positionV relativeFrom="page">
            <wp:posOffset>571500</wp:posOffset>
          </wp:positionV>
          <wp:extent cx="2132965" cy="466725"/>
          <wp:effectExtent l="0" t="0" r="635" b="9525"/>
          <wp:wrapNone/>
          <wp:docPr id="2" name="Picture 73" descr="Description: F&amp;C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escription: F&amp;CT logo.jpg"/>
                  <pic:cNvPicPr>
                    <a:picLocks noChangeAspect="1" noChangeArrowheads="1"/>
                  </pic:cNvPicPr>
                </pic:nvPicPr>
                <pic:blipFill rotWithShape="1">
                  <a:blip r:embed="rId2">
                    <a:extLst>
                      <a:ext uri="{28A0092B-C50C-407E-A947-70E740481C1C}">
                        <a14:useLocalDpi xmlns:a14="http://schemas.microsoft.com/office/drawing/2010/main" val="0"/>
                      </a:ext>
                    </a:extLst>
                  </a:blip>
                  <a:srcRect b="20968"/>
                  <a:stretch/>
                </pic:blipFill>
                <pic:spPr bwMode="auto">
                  <a:xfrm>
                    <a:off x="0" y="0"/>
                    <a:ext cx="2132965" cy="466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05A99"/>
    <w:multiLevelType w:val="hybridMultilevel"/>
    <w:tmpl w:val="C1488B6E"/>
    <w:lvl w:ilvl="0" w:tplc="D702E7F0">
      <w:start w:val="3"/>
      <w:numFmt w:val="bullet"/>
      <w:lvlText w:val=""/>
      <w:lvlJc w:val="left"/>
      <w:pPr>
        <w:ind w:left="360" w:hanging="360"/>
      </w:pPr>
      <w:rPr>
        <w:rFonts w:ascii="Wingdings 3" w:hAnsi="Wingdings 3" w:hint="default"/>
        <w:color w:val="4F81BD"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C735E1"/>
    <w:multiLevelType w:val="hybridMultilevel"/>
    <w:tmpl w:val="48EE5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C3C00A9"/>
    <w:multiLevelType w:val="hybridMultilevel"/>
    <w:tmpl w:val="15B04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1EC3DFF"/>
    <w:multiLevelType w:val="hybridMultilevel"/>
    <w:tmpl w:val="60C6FF7A"/>
    <w:lvl w:ilvl="0" w:tplc="08090001">
      <w:start w:val="1"/>
      <w:numFmt w:val="bullet"/>
      <w:lvlText w:val=""/>
      <w:lvlJc w:val="left"/>
      <w:pPr>
        <w:ind w:left="36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BA9"/>
    <w:rsid w:val="00096CFE"/>
    <w:rsid w:val="0013797F"/>
    <w:rsid w:val="001628F4"/>
    <w:rsid w:val="002A4BA9"/>
    <w:rsid w:val="002D3AC9"/>
    <w:rsid w:val="002E3732"/>
    <w:rsid w:val="0034247C"/>
    <w:rsid w:val="003E2884"/>
    <w:rsid w:val="00425975"/>
    <w:rsid w:val="004324CB"/>
    <w:rsid w:val="00432BDB"/>
    <w:rsid w:val="004E31E0"/>
    <w:rsid w:val="005E2860"/>
    <w:rsid w:val="006E3468"/>
    <w:rsid w:val="00710861"/>
    <w:rsid w:val="007123A4"/>
    <w:rsid w:val="007B1B43"/>
    <w:rsid w:val="007D7D19"/>
    <w:rsid w:val="007E42D9"/>
    <w:rsid w:val="009736E9"/>
    <w:rsid w:val="00A12D75"/>
    <w:rsid w:val="00A97BD3"/>
    <w:rsid w:val="00B235E0"/>
    <w:rsid w:val="00B738CA"/>
    <w:rsid w:val="00BF6101"/>
    <w:rsid w:val="00C32243"/>
    <w:rsid w:val="00C80A49"/>
    <w:rsid w:val="00C94ACC"/>
    <w:rsid w:val="00CC7512"/>
    <w:rsid w:val="00D051E3"/>
    <w:rsid w:val="00E173A5"/>
    <w:rsid w:val="00E66B53"/>
    <w:rsid w:val="00E762DF"/>
    <w:rsid w:val="00F06ACF"/>
    <w:rsid w:val="00F3732A"/>
    <w:rsid w:val="00F66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3CDC6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BA9"/>
    <w:rPr>
      <w:rFonts w:ascii="Arial" w:eastAsia="Times New Roman" w:hAnsi="Arial" w:cs="Times New Roman"/>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A4BA9"/>
    <w:pPr>
      <w:tabs>
        <w:tab w:val="center" w:pos="4320"/>
        <w:tab w:val="right" w:pos="8640"/>
      </w:tabs>
    </w:pPr>
  </w:style>
  <w:style w:type="character" w:customStyle="1" w:styleId="HeaderChar">
    <w:name w:val="Header Char"/>
    <w:basedOn w:val="DefaultParagraphFont"/>
    <w:link w:val="Header"/>
    <w:rsid w:val="002A4BA9"/>
    <w:rPr>
      <w:rFonts w:ascii="Arial" w:eastAsia="Times New Roman" w:hAnsi="Arial" w:cs="Times New Roman"/>
      <w:sz w:val="22"/>
      <w:szCs w:val="20"/>
      <w:lang w:val="en-GB"/>
    </w:rPr>
  </w:style>
  <w:style w:type="paragraph" w:styleId="Footer">
    <w:name w:val="footer"/>
    <w:basedOn w:val="Normal"/>
    <w:link w:val="FooterChar"/>
    <w:uiPriority w:val="99"/>
    <w:unhideWhenUsed/>
    <w:rsid w:val="00F66D46"/>
    <w:pPr>
      <w:tabs>
        <w:tab w:val="center" w:pos="4320"/>
        <w:tab w:val="right" w:pos="8640"/>
      </w:tabs>
    </w:pPr>
  </w:style>
  <w:style w:type="character" w:customStyle="1" w:styleId="FooterChar">
    <w:name w:val="Footer Char"/>
    <w:basedOn w:val="DefaultParagraphFont"/>
    <w:link w:val="Footer"/>
    <w:uiPriority w:val="99"/>
    <w:rsid w:val="00F66D46"/>
    <w:rPr>
      <w:rFonts w:ascii="Arial" w:eastAsia="Times New Roman" w:hAnsi="Arial" w:cs="Times New Roman"/>
      <w:sz w:val="22"/>
      <w:szCs w:val="20"/>
      <w:lang w:val="en-GB"/>
    </w:rPr>
  </w:style>
  <w:style w:type="paragraph" w:styleId="BalloonText">
    <w:name w:val="Balloon Text"/>
    <w:basedOn w:val="Normal"/>
    <w:link w:val="BalloonTextChar"/>
    <w:uiPriority w:val="99"/>
    <w:semiHidden/>
    <w:unhideWhenUsed/>
    <w:rsid w:val="00F66D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6D46"/>
    <w:rPr>
      <w:rFonts w:ascii="Lucida Grande" w:eastAsia="Times New Roman" w:hAnsi="Lucida Grande" w:cs="Lucida Grande"/>
      <w:sz w:val="18"/>
      <w:szCs w:val="18"/>
      <w:lang w:val="en-GB"/>
    </w:rPr>
  </w:style>
  <w:style w:type="character" w:styleId="PageNumber">
    <w:name w:val="page number"/>
    <w:basedOn w:val="DefaultParagraphFont"/>
    <w:uiPriority w:val="99"/>
    <w:semiHidden/>
    <w:unhideWhenUsed/>
    <w:rsid w:val="00F66D46"/>
  </w:style>
  <w:style w:type="paragraph" w:styleId="ListParagraph">
    <w:name w:val="List Paragraph"/>
    <w:basedOn w:val="Normal"/>
    <w:uiPriority w:val="34"/>
    <w:qFormat/>
    <w:rsid w:val="007D7D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BA9"/>
    <w:rPr>
      <w:rFonts w:ascii="Arial" w:eastAsia="Times New Roman" w:hAnsi="Arial" w:cs="Times New Roman"/>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A4BA9"/>
    <w:pPr>
      <w:tabs>
        <w:tab w:val="center" w:pos="4320"/>
        <w:tab w:val="right" w:pos="8640"/>
      </w:tabs>
    </w:pPr>
  </w:style>
  <w:style w:type="character" w:customStyle="1" w:styleId="HeaderChar">
    <w:name w:val="Header Char"/>
    <w:basedOn w:val="DefaultParagraphFont"/>
    <w:link w:val="Header"/>
    <w:rsid w:val="002A4BA9"/>
    <w:rPr>
      <w:rFonts w:ascii="Arial" w:eastAsia="Times New Roman" w:hAnsi="Arial" w:cs="Times New Roman"/>
      <w:sz w:val="22"/>
      <w:szCs w:val="20"/>
      <w:lang w:val="en-GB"/>
    </w:rPr>
  </w:style>
  <w:style w:type="paragraph" w:styleId="Footer">
    <w:name w:val="footer"/>
    <w:basedOn w:val="Normal"/>
    <w:link w:val="FooterChar"/>
    <w:uiPriority w:val="99"/>
    <w:unhideWhenUsed/>
    <w:rsid w:val="00F66D46"/>
    <w:pPr>
      <w:tabs>
        <w:tab w:val="center" w:pos="4320"/>
        <w:tab w:val="right" w:pos="8640"/>
      </w:tabs>
    </w:pPr>
  </w:style>
  <w:style w:type="character" w:customStyle="1" w:styleId="FooterChar">
    <w:name w:val="Footer Char"/>
    <w:basedOn w:val="DefaultParagraphFont"/>
    <w:link w:val="Footer"/>
    <w:uiPriority w:val="99"/>
    <w:rsid w:val="00F66D46"/>
    <w:rPr>
      <w:rFonts w:ascii="Arial" w:eastAsia="Times New Roman" w:hAnsi="Arial" w:cs="Times New Roman"/>
      <w:sz w:val="22"/>
      <w:szCs w:val="20"/>
      <w:lang w:val="en-GB"/>
    </w:rPr>
  </w:style>
  <w:style w:type="paragraph" w:styleId="BalloonText">
    <w:name w:val="Balloon Text"/>
    <w:basedOn w:val="Normal"/>
    <w:link w:val="BalloonTextChar"/>
    <w:uiPriority w:val="99"/>
    <w:semiHidden/>
    <w:unhideWhenUsed/>
    <w:rsid w:val="00F66D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6D46"/>
    <w:rPr>
      <w:rFonts w:ascii="Lucida Grande" w:eastAsia="Times New Roman" w:hAnsi="Lucida Grande" w:cs="Lucida Grande"/>
      <w:sz w:val="18"/>
      <w:szCs w:val="18"/>
      <w:lang w:val="en-GB"/>
    </w:rPr>
  </w:style>
  <w:style w:type="character" w:styleId="PageNumber">
    <w:name w:val="page number"/>
    <w:basedOn w:val="DefaultParagraphFont"/>
    <w:uiPriority w:val="99"/>
    <w:semiHidden/>
    <w:unhideWhenUsed/>
    <w:rsid w:val="00F66D46"/>
  </w:style>
  <w:style w:type="paragraph" w:styleId="ListParagraph">
    <w:name w:val="List Paragraph"/>
    <w:basedOn w:val="Normal"/>
    <w:uiPriority w:val="34"/>
    <w:qFormat/>
    <w:rsid w:val="007D7D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4DDCC489</Template>
  <TotalTime>52</TotalTime>
  <Pages>2</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Chris Leigh Management Limited</Company>
  <LinksUpToDate>false</LinksUpToDate>
  <CharactersWithSpaces>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Leigh</dc:creator>
  <cp:lastModifiedBy>Kate Miller</cp:lastModifiedBy>
  <cp:revision>7</cp:revision>
  <dcterms:created xsi:type="dcterms:W3CDTF">2016-11-07T12:22:00Z</dcterms:created>
  <dcterms:modified xsi:type="dcterms:W3CDTF">2016-11-24T11:23:00Z</dcterms:modified>
</cp:coreProperties>
</file>